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F10973">
      <w:pPr>
        <w:pStyle w:val="Heading1"/>
        <w:numPr>
          <w:ilvl w:val="0"/>
          <w:numId w:val="5"/>
        </w:numPr>
        <w:spacing w:before="0"/>
        <w:ind w:left="851" w:right="-709" w:hanging="851"/>
        <w:jc w:val="left"/>
        <w:rPr>
          <w:i/>
          <w:sz w:val="28"/>
          <w:szCs w:val="28"/>
          <w:lang w:val="en-GB"/>
        </w:rPr>
      </w:pPr>
      <w:bookmarkStart w:id="0" w:name="_Toc42488106"/>
      <w:bookmarkStart w:id="1" w:name="_Ref500419967"/>
      <w:bookmarkStart w:id="2" w:name="_GoBack"/>
      <w:bookmarkEnd w:id="2"/>
      <w:permStart w:id="564272450" w:edGrp="everyone"/>
      <w:permEnd w:id="564272450"/>
      <w:r w:rsidRPr="006A5F84">
        <w:rPr>
          <w:i/>
          <w:sz w:val="28"/>
          <w:szCs w:val="28"/>
          <w:lang w:val="en-GB"/>
        </w:rPr>
        <w:t>TENDER FORM FOR A SUPPLY CONTRACT</w:t>
      </w:r>
      <w:bookmarkEnd w:id="0"/>
    </w:p>
    <w:bookmarkEnd w:id="1"/>
    <w:p w14:paraId="7AA77D66" w14:textId="519EA28E"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0479E0">
        <w:rPr>
          <w:sz w:val="22"/>
          <w:szCs w:val="22"/>
          <w:lang w:val="en-GB"/>
        </w:rPr>
        <w:t>KSCR/PROC/2021-2023/0</w:t>
      </w:r>
      <w:r w:rsidR="00EC50DA">
        <w:rPr>
          <w:sz w:val="22"/>
          <w:szCs w:val="22"/>
          <w:lang w:val="en-GB"/>
        </w:rPr>
        <w:t>802</w:t>
      </w:r>
    </w:p>
    <w:p w14:paraId="0682B795" w14:textId="7044F81B"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EC50DA" w:rsidRPr="00EC50DA">
        <w:rPr>
          <w:sz w:val="22"/>
          <w:szCs w:val="22"/>
          <w:lang w:val="en-GB"/>
        </w:rPr>
        <w:t xml:space="preserve">supply and delivery of server connectivity hardware to the Kosovo Specialist </w:t>
      </w:r>
      <w:r w:rsidR="005C154D">
        <w:rPr>
          <w:sz w:val="22"/>
          <w:szCs w:val="22"/>
          <w:lang w:val="en-GB"/>
        </w:rPr>
        <w:t xml:space="preserve">Chambers (KSC) </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027F5147" w:rsidR="0047783A" w:rsidRPr="006A5F84" w:rsidRDefault="0047783A" w:rsidP="0047783A">
      <w:pPr>
        <w:rPr>
          <w:b/>
          <w:sz w:val="22"/>
          <w:szCs w:val="22"/>
        </w:rPr>
      </w:pPr>
      <w:r w:rsidRPr="006A5F84">
        <w:rPr>
          <w:b/>
          <w:sz w:val="22"/>
          <w:szCs w:val="22"/>
        </w:rPr>
        <w:t xml:space="preserve">A: </w:t>
      </w:r>
      <w:r w:rsidR="005D4334" w:rsidRPr="005D4334">
        <w:rPr>
          <w:b/>
          <w:sz w:val="22"/>
          <w:szCs w:val="22"/>
        </w:rPr>
        <w:t>Kosovo Specialist Chambers (KSC) - Raamweg 47, 2596HN The Hague, The Netherlands</w:t>
      </w:r>
      <w:r w:rsidRPr="006A5F84">
        <w:rPr>
          <w:b/>
          <w:sz w:val="22"/>
          <w:szCs w:val="22"/>
        </w:rPr>
        <w: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F10973">
      <w:pPr>
        <w:snapToGrid w:val="0"/>
        <w:spacing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53A76B5" w14:textId="77777777" w:rsidR="0047783A" w:rsidRPr="006A5F84" w:rsidRDefault="0047783A" w:rsidP="00F10973">
      <w:pPr>
        <w:keepNext/>
        <w:spacing w:before="36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F10973">
        <w:trPr>
          <w:cantSplit/>
          <w:trHeight w:val="300"/>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F10973">
        <w:trPr>
          <w:cantSplit/>
          <w:trHeight w:val="335"/>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F10973">
        <w:trPr>
          <w:cantSplit/>
          <w:trHeight w:val="409"/>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92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1134"/>
        <w:gridCol w:w="993"/>
      </w:tblGrid>
      <w:tr w:rsidR="00B34C65" w:rsidRPr="006A5F84" w14:paraId="1481C142" w14:textId="77777777" w:rsidTr="005D4334">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3A89A79C"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2B70B889" w14:textId="1E97B611" w:rsidR="00B34C65" w:rsidRDefault="005D4334" w:rsidP="00B34C65">
            <w:pPr>
              <w:widowControl w:val="0"/>
              <w:spacing w:before="60" w:after="60"/>
              <w:jc w:val="center"/>
              <w:rPr>
                <w:b/>
                <w:sz w:val="22"/>
                <w:szCs w:val="22"/>
              </w:rPr>
            </w:pPr>
            <w:r>
              <w:rPr>
                <w:b/>
                <w:sz w:val="22"/>
                <w:szCs w:val="22"/>
              </w:rPr>
              <w:t>2019</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143C7ADF" w:rsidR="00B34C65" w:rsidRDefault="00B34C65" w:rsidP="00B34C65">
            <w:pPr>
              <w:widowControl w:val="0"/>
              <w:spacing w:before="60" w:after="60"/>
              <w:jc w:val="center"/>
              <w:rPr>
                <w:b/>
                <w:sz w:val="22"/>
                <w:szCs w:val="22"/>
              </w:rPr>
            </w:pPr>
            <w:r w:rsidRPr="006A5F84">
              <w:rPr>
                <w:b/>
              </w:rPr>
              <w:t>Year before last year</w:t>
            </w:r>
            <w:r w:rsidRPr="006A5F84">
              <w:rPr>
                <w:b/>
              </w:rPr>
              <w:br/>
            </w:r>
            <w:r w:rsidR="005D4334">
              <w:rPr>
                <w:b/>
                <w:sz w:val="22"/>
                <w:szCs w:val="22"/>
              </w:rPr>
              <w:t>2020</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22F5B630" w:rsidR="00B34C65" w:rsidRDefault="00B34C65" w:rsidP="00B34C65">
            <w:pPr>
              <w:widowControl w:val="0"/>
              <w:spacing w:before="60" w:after="60"/>
              <w:jc w:val="center"/>
              <w:rPr>
                <w:b/>
                <w:sz w:val="22"/>
                <w:szCs w:val="22"/>
              </w:rPr>
            </w:pPr>
            <w:r w:rsidRPr="006A5F84">
              <w:rPr>
                <w:b/>
              </w:rPr>
              <w:t>Last year</w:t>
            </w:r>
            <w:r w:rsidRPr="006A5F84">
              <w:rPr>
                <w:b/>
              </w:rPr>
              <w:br/>
            </w:r>
            <w:r w:rsidR="005D4334">
              <w:rPr>
                <w:b/>
                <w:sz w:val="22"/>
                <w:szCs w:val="22"/>
              </w:rPr>
              <w:t>2021</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0B3C0E60"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13508EC4"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2AB967C0" w14:textId="77777777" w:rsidTr="005D4334">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5D4334">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1134"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5D4334">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5D4334">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[Current ratio (current assets/current liabilities)</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1AA4093D" w:rsidR="00B34C65" w:rsidRPr="006A5F84" w:rsidRDefault="005C154D"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10973">
          <w:footerReference w:type="even" r:id="rId11"/>
          <w:footerReference w:type="default" r:id="rId12"/>
          <w:footerReference w:type="first" r:id="rId13"/>
          <w:pgSz w:w="11906" w:h="16838"/>
          <w:pgMar w:top="993" w:right="1418" w:bottom="1134" w:left="1134" w:header="720" w:footer="720" w:gutter="0"/>
          <w:pgNumType w:start="1"/>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331973">
          <w:footerReference w:type="default" r:id="rId14"/>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w:t>
      </w:r>
      <w:r w:rsidRPr="00950E6F">
        <w:rPr>
          <w:sz w:val="22"/>
          <w:szCs w:val="22"/>
        </w:rPr>
        <w:t xml:space="preserve">past </w:t>
      </w:r>
      <w:r w:rsidR="0073546D" w:rsidRPr="00950E6F">
        <w:rPr>
          <w:sz w:val="22"/>
          <w:szCs w:val="22"/>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7DD5035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6FEEC6C5"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w:t>
      </w:r>
      <w:r w:rsidR="005C4310">
        <w:rPr>
          <w:sz w:val="22"/>
          <w:szCs w:val="22"/>
        </w:rPr>
        <w:t xml:space="preserve"> KSCR/PROC/2021-2023/0</w:t>
      </w:r>
      <w:r w:rsidR="00EC50DA">
        <w:rPr>
          <w:sz w:val="22"/>
          <w:szCs w:val="22"/>
        </w:rPr>
        <w:t>802</w:t>
      </w:r>
      <w:r w:rsidRPr="006A5F84">
        <w:rPr>
          <w:sz w:val="22"/>
          <w:szCs w:val="22"/>
        </w:rPr>
        <w:t>. We hereby accept its provisions in their entirety, without reservation or restriction.</w:t>
      </w:r>
    </w:p>
    <w:p w14:paraId="4C26F703" w14:textId="6CC5C238" w:rsidR="0047783A" w:rsidRPr="004F0604"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Pr="005C4310">
        <w:rPr>
          <w:sz w:val="22"/>
          <w:szCs w:val="22"/>
        </w:rPr>
        <w:t>We offer to deliver, in accordance with the terms of the tender dossier and the conditions and time limits laid down, without reserve or restriction:</w:t>
      </w:r>
    </w:p>
    <w:p w14:paraId="40F7FEDB" w14:textId="782A3B4C" w:rsidR="0047783A" w:rsidRPr="005C4310" w:rsidRDefault="00EC50DA" w:rsidP="0047783A">
      <w:pPr>
        <w:ind w:left="709"/>
        <w:jc w:val="both"/>
        <w:rPr>
          <w:sz w:val="22"/>
          <w:szCs w:val="22"/>
        </w:rPr>
      </w:pPr>
      <w:r>
        <w:rPr>
          <w:sz w:val="22"/>
          <w:szCs w:val="22"/>
        </w:rPr>
        <w:t>S</w:t>
      </w:r>
      <w:r w:rsidRPr="00EC50DA">
        <w:rPr>
          <w:sz w:val="22"/>
          <w:szCs w:val="22"/>
        </w:rPr>
        <w:t xml:space="preserve">erver connectivity hardware </w:t>
      </w:r>
      <w:r w:rsidR="00B42CD0">
        <w:rPr>
          <w:sz w:val="22"/>
          <w:szCs w:val="22"/>
        </w:rPr>
        <w:t xml:space="preserve">and a 4-year maintenance and support on hardware </w:t>
      </w:r>
      <w:r w:rsidRPr="00EC50DA">
        <w:rPr>
          <w:sz w:val="22"/>
          <w:szCs w:val="22"/>
        </w:rPr>
        <w:t>to the Kosovo Specialist Chambers (KSC) and Specialist Prosecutor’s Office (SPO)</w:t>
      </w:r>
    </w:p>
    <w:p w14:paraId="00F7042B" w14:textId="0B6BEB4F"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parts and consumables, if</w:t>
      </w:r>
      <w:r w:rsidR="00187603">
        <w:rPr>
          <w:sz w:val="22"/>
          <w:szCs w:val="22"/>
        </w:rPr>
        <w:t xml:space="preserve"> applicable</w:t>
      </w:r>
      <w:r w:rsidRPr="006A5F84">
        <w:rPr>
          <w:sz w:val="22"/>
          <w:szCs w:val="22"/>
        </w:rPr>
        <w:t xml:space="preserve"> is:</w:t>
      </w:r>
    </w:p>
    <w:p w14:paraId="1F67A251" w14:textId="15B1CF15" w:rsidR="0047783A" w:rsidRPr="005C4310" w:rsidRDefault="005C4310" w:rsidP="0047783A">
      <w:pPr>
        <w:ind w:left="709"/>
        <w:jc w:val="both"/>
        <w:rPr>
          <w:b/>
          <w:sz w:val="22"/>
          <w:szCs w:val="22"/>
          <w:u w:val="single"/>
        </w:rPr>
      </w:pPr>
      <w:r w:rsidRPr="005C4310">
        <w:rPr>
          <w:b/>
          <w:sz w:val="22"/>
          <w:szCs w:val="22"/>
          <w:u w:val="single"/>
        </w:rPr>
        <w:t>&lt;</w:t>
      </w:r>
      <w:r w:rsidR="008431A6" w:rsidRPr="005C4310">
        <w:rPr>
          <w:b/>
          <w:sz w:val="22"/>
          <w:szCs w:val="22"/>
          <w:highlight w:val="yellow"/>
          <w:u w:val="single"/>
        </w:rPr>
        <w:t>insert price</w:t>
      </w:r>
      <w:r w:rsidR="008431A6" w:rsidRPr="005C4310">
        <w:rPr>
          <w:b/>
          <w:sz w:val="22"/>
          <w:szCs w:val="22"/>
          <w:u w:val="single"/>
        </w:rPr>
        <w:t>&gt;</w:t>
      </w:r>
      <w:r w:rsidRPr="005C4310">
        <w:rPr>
          <w:b/>
          <w:sz w:val="22"/>
          <w:szCs w:val="22"/>
          <w:u w:val="single"/>
        </w:rPr>
        <w:t xml:space="preserve"> EUR</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lastRenderedPageBreak/>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1"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1538A036" w:rsidR="0047783A" w:rsidRDefault="0047783A" w:rsidP="0047783A">
      <w:pPr>
        <w:widowControl w:val="0"/>
        <w:tabs>
          <w:tab w:val="left" w:pos="360"/>
        </w:tabs>
        <w:ind w:left="709" w:hanging="709"/>
        <w:jc w:val="both"/>
        <w:rPr>
          <w:sz w:val="22"/>
          <w:szCs w:val="22"/>
        </w:rPr>
      </w:pPr>
    </w:p>
    <w:p w14:paraId="1F3A7036" w14:textId="77777777" w:rsidR="005C4310" w:rsidRPr="0017401E" w:rsidRDefault="005C4310" w:rsidP="005C4310">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C4310" w:rsidRPr="0017401E" w14:paraId="7536A722" w14:textId="77777777" w:rsidTr="0021627D">
        <w:trPr>
          <w:cantSplit/>
        </w:trPr>
        <w:tc>
          <w:tcPr>
            <w:tcW w:w="1842" w:type="dxa"/>
            <w:tcBorders>
              <w:top w:val="single" w:sz="6" w:space="0" w:color="000000"/>
              <w:left w:val="single" w:sz="6" w:space="0" w:color="000000"/>
              <w:bottom w:val="single" w:sz="6" w:space="0" w:color="000000"/>
              <w:right w:val="single" w:sz="6" w:space="0" w:color="000000"/>
            </w:tcBorders>
          </w:tcPr>
          <w:p w14:paraId="1FEF9638" w14:textId="77777777" w:rsidR="005C4310" w:rsidRPr="0017401E" w:rsidRDefault="005C4310" w:rsidP="0021627D">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562AA93" w14:textId="77777777" w:rsidR="005C4310" w:rsidRPr="0017401E" w:rsidRDefault="005C4310" w:rsidP="0021627D">
            <w:pPr>
              <w:spacing w:before="120"/>
              <w:rPr>
                <w:b/>
                <w:color w:val="000000"/>
                <w:sz w:val="22"/>
                <w:szCs w:val="22"/>
              </w:rPr>
            </w:pPr>
          </w:p>
        </w:tc>
      </w:tr>
      <w:tr w:rsidR="005C4310" w:rsidRPr="0017401E" w14:paraId="6F66E618" w14:textId="77777777" w:rsidTr="0021627D">
        <w:trPr>
          <w:cantSplit/>
        </w:trPr>
        <w:tc>
          <w:tcPr>
            <w:tcW w:w="1842" w:type="dxa"/>
            <w:tcBorders>
              <w:top w:val="single" w:sz="6" w:space="0" w:color="000000"/>
              <w:left w:val="single" w:sz="6" w:space="0" w:color="000000"/>
              <w:bottom w:val="single" w:sz="6" w:space="0" w:color="000000"/>
              <w:right w:val="single" w:sz="6" w:space="0" w:color="000000"/>
            </w:tcBorders>
          </w:tcPr>
          <w:p w14:paraId="4CB6CC78" w14:textId="77777777" w:rsidR="005C4310" w:rsidRPr="0017401E" w:rsidRDefault="005C4310" w:rsidP="0021627D">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CF0105" w14:textId="77777777" w:rsidR="005C4310" w:rsidRPr="0017401E" w:rsidRDefault="005C4310" w:rsidP="0021627D">
            <w:pPr>
              <w:spacing w:before="120"/>
              <w:rPr>
                <w:b/>
                <w:color w:val="000000"/>
                <w:sz w:val="22"/>
                <w:szCs w:val="22"/>
              </w:rPr>
            </w:pPr>
            <w:r w:rsidRPr="00895FA8">
              <w:rPr>
                <w:color w:val="000000"/>
                <w:sz w:val="22"/>
                <w:szCs w:val="22"/>
              </w:rPr>
              <w:t>By typing your name above you are signing this form electronically</w:t>
            </w:r>
          </w:p>
        </w:tc>
      </w:tr>
      <w:tr w:rsidR="005C4310" w:rsidRPr="0017401E" w14:paraId="477CEFF1" w14:textId="77777777" w:rsidTr="0021627D">
        <w:trPr>
          <w:cantSplit/>
        </w:trPr>
        <w:tc>
          <w:tcPr>
            <w:tcW w:w="1842" w:type="dxa"/>
            <w:tcBorders>
              <w:top w:val="single" w:sz="6" w:space="0" w:color="000000"/>
              <w:left w:val="single" w:sz="6" w:space="0" w:color="000000"/>
              <w:bottom w:val="single" w:sz="6" w:space="0" w:color="000000"/>
              <w:right w:val="single" w:sz="6" w:space="0" w:color="000000"/>
            </w:tcBorders>
          </w:tcPr>
          <w:p w14:paraId="59961948" w14:textId="77777777" w:rsidR="005C4310" w:rsidRPr="0017401E" w:rsidRDefault="005C4310" w:rsidP="0021627D">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6E54D504" w14:textId="77777777" w:rsidR="005C4310" w:rsidRPr="0017401E" w:rsidRDefault="005C4310" w:rsidP="0021627D">
            <w:pPr>
              <w:spacing w:before="120"/>
              <w:rPr>
                <w:b/>
                <w:color w:val="000000"/>
                <w:sz w:val="22"/>
                <w:szCs w:val="22"/>
              </w:rPr>
            </w:pPr>
          </w:p>
        </w:tc>
      </w:tr>
    </w:tbl>
    <w:p w14:paraId="3866F97B" w14:textId="77777777" w:rsidR="005C4310" w:rsidRPr="006A5F84" w:rsidRDefault="005C4310" w:rsidP="0047783A">
      <w:pPr>
        <w:widowControl w:val="0"/>
        <w:tabs>
          <w:tab w:val="left" w:pos="360"/>
        </w:tabs>
        <w:ind w:left="709" w:hanging="709"/>
        <w:jc w:val="both"/>
        <w:rPr>
          <w:sz w:val="22"/>
          <w:szCs w:val="22"/>
        </w:rPr>
      </w:pP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632" w:type="dxa"/>
        <w:tblInd w:w="-7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1134"/>
        <w:gridCol w:w="1276"/>
      </w:tblGrid>
      <w:tr w:rsidR="00B95E2A" w:rsidRPr="006A5F84" w14:paraId="1175720A" w14:textId="77777777" w:rsidTr="000479E0">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08D6DD52"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Pr="00950E6F" w:rsidRDefault="00B95E2A" w:rsidP="0047783A">
            <w:pPr>
              <w:keepNext/>
              <w:keepLines/>
              <w:widowControl w:val="0"/>
              <w:jc w:val="center"/>
              <w:rPr>
                <w:b/>
                <w:sz w:val="22"/>
                <w:szCs w:val="22"/>
                <w:vertAlign w:val="superscript"/>
              </w:rPr>
            </w:pPr>
            <w:r w:rsidRPr="00950E6F">
              <w:rPr>
                <w:b/>
                <w:sz w:val="22"/>
                <w:szCs w:val="22"/>
              </w:rPr>
              <w:t>2 years before last</w:t>
            </w:r>
            <w:r w:rsidRPr="00950E6F">
              <w:rPr>
                <w:b/>
                <w:sz w:val="22"/>
                <w:szCs w:val="22"/>
                <w:vertAlign w:val="superscript"/>
              </w:rPr>
              <w:t>5</w:t>
            </w:r>
          </w:p>
          <w:p w14:paraId="4EB47FED" w14:textId="4649B347" w:rsidR="00B95E2A" w:rsidRPr="00950E6F" w:rsidRDefault="00187603" w:rsidP="0047783A">
            <w:pPr>
              <w:keepNext/>
              <w:keepLines/>
              <w:widowControl w:val="0"/>
              <w:jc w:val="center"/>
              <w:rPr>
                <w:b/>
                <w:sz w:val="22"/>
                <w:szCs w:val="22"/>
              </w:rPr>
            </w:pPr>
            <w:r w:rsidRPr="00950E6F">
              <w:rPr>
                <w:b/>
                <w:sz w:val="22"/>
                <w:szCs w:val="22"/>
              </w:rPr>
              <w:t>2019</w:t>
            </w:r>
          </w:p>
          <w:p w14:paraId="7D9C8A13" w14:textId="77777777" w:rsidR="00B95E2A" w:rsidRPr="00950E6F" w:rsidRDefault="00B95E2A" w:rsidP="0047783A">
            <w:pPr>
              <w:keepNext/>
              <w:keepLines/>
              <w:widowControl w:val="0"/>
              <w:jc w:val="center"/>
              <w:rPr>
                <w:b/>
                <w:sz w:val="22"/>
                <w:szCs w:val="22"/>
              </w:rPr>
            </w:pPr>
            <w:r w:rsidRPr="00950E6F">
              <w:rPr>
                <w:b/>
                <w:sz w:val="22"/>
                <w:szCs w:val="22"/>
              </w:rPr>
              <w:t>EUR</w:t>
            </w:r>
          </w:p>
        </w:tc>
        <w:tc>
          <w:tcPr>
            <w:tcW w:w="1276" w:type="dxa"/>
            <w:tcBorders>
              <w:bottom w:val="nil"/>
            </w:tcBorders>
            <w:shd w:val="pct5" w:color="auto" w:fill="FFFFFF"/>
          </w:tcPr>
          <w:p w14:paraId="796A06F1" w14:textId="77777777" w:rsidR="00B95E2A" w:rsidRPr="00950E6F" w:rsidRDefault="00B95E2A" w:rsidP="0047783A">
            <w:pPr>
              <w:keepNext/>
              <w:keepLines/>
              <w:widowControl w:val="0"/>
              <w:jc w:val="center"/>
              <w:rPr>
                <w:b/>
                <w:sz w:val="22"/>
                <w:szCs w:val="22"/>
              </w:rPr>
            </w:pPr>
            <w:r w:rsidRPr="00950E6F">
              <w:rPr>
                <w:b/>
                <w:sz w:val="22"/>
                <w:szCs w:val="22"/>
              </w:rPr>
              <w:t>Year before last year</w:t>
            </w:r>
          </w:p>
          <w:p w14:paraId="7399381E" w14:textId="4FB6D817" w:rsidR="00B95E2A" w:rsidRPr="00950E6F" w:rsidRDefault="00187603" w:rsidP="0047783A">
            <w:pPr>
              <w:keepNext/>
              <w:keepLines/>
              <w:widowControl w:val="0"/>
              <w:jc w:val="center"/>
              <w:rPr>
                <w:b/>
                <w:sz w:val="22"/>
                <w:szCs w:val="22"/>
              </w:rPr>
            </w:pPr>
            <w:r w:rsidRPr="00950E6F">
              <w:rPr>
                <w:b/>
                <w:sz w:val="22"/>
                <w:szCs w:val="22"/>
              </w:rPr>
              <w:t>2020</w:t>
            </w:r>
            <w:r w:rsidR="00B95E2A" w:rsidRPr="00950E6F">
              <w:rPr>
                <w:b/>
                <w:sz w:val="22"/>
                <w:szCs w:val="22"/>
              </w:rPr>
              <w:br/>
            </w:r>
          </w:p>
          <w:p w14:paraId="580ADEBE" w14:textId="77777777" w:rsidR="00B95E2A" w:rsidRPr="00950E6F" w:rsidRDefault="00B95E2A" w:rsidP="0047783A">
            <w:pPr>
              <w:keepNext/>
              <w:keepLines/>
              <w:widowControl w:val="0"/>
              <w:jc w:val="center"/>
              <w:rPr>
                <w:b/>
                <w:sz w:val="22"/>
                <w:szCs w:val="22"/>
              </w:rPr>
            </w:pPr>
            <w:r w:rsidRPr="00950E6F">
              <w:rPr>
                <w:b/>
                <w:sz w:val="22"/>
                <w:szCs w:val="22"/>
              </w:rPr>
              <w:t>EUR</w:t>
            </w:r>
          </w:p>
        </w:tc>
        <w:tc>
          <w:tcPr>
            <w:tcW w:w="1134" w:type="dxa"/>
            <w:tcBorders>
              <w:bottom w:val="nil"/>
            </w:tcBorders>
            <w:shd w:val="pct5" w:color="auto" w:fill="FFFFFF"/>
          </w:tcPr>
          <w:p w14:paraId="34100500" w14:textId="77777777" w:rsidR="00B95E2A" w:rsidRPr="00950E6F" w:rsidRDefault="00B95E2A" w:rsidP="0047783A">
            <w:pPr>
              <w:keepNext/>
              <w:keepLines/>
              <w:widowControl w:val="0"/>
              <w:jc w:val="center"/>
              <w:rPr>
                <w:b/>
                <w:sz w:val="22"/>
                <w:szCs w:val="22"/>
              </w:rPr>
            </w:pPr>
            <w:r w:rsidRPr="00950E6F">
              <w:rPr>
                <w:b/>
                <w:sz w:val="22"/>
                <w:szCs w:val="22"/>
              </w:rPr>
              <w:t>Last year</w:t>
            </w:r>
          </w:p>
          <w:p w14:paraId="659CB301" w14:textId="270A8340" w:rsidR="00B95E2A" w:rsidRPr="00950E6F" w:rsidRDefault="00187603" w:rsidP="0047783A">
            <w:pPr>
              <w:keepNext/>
              <w:keepLines/>
              <w:widowControl w:val="0"/>
              <w:jc w:val="center"/>
              <w:rPr>
                <w:b/>
                <w:sz w:val="22"/>
                <w:szCs w:val="22"/>
              </w:rPr>
            </w:pPr>
            <w:r w:rsidRPr="00950E6F">
              <w:rPr>
                <w:b/>
                <w:sz w:val="22"/>
                <w:szCs w:val="22"/>
              </w:rPr>
              <w:t>2021</w:t>
            </w:r>
            <w:r w:rsidR="00B95E2A" w:rsidRPr="00950E6F">
              <w:rPr>
                <w:b/>
                <w:sz w:val="22"/>
                <w:szCs w:val="22"/>
              </w:rPr>
              <w:br/>
            </w:r>
          </w:p>
          <w:p w14:paraId="478C1DAE" w14:textId="77777777" w:rsidR="00B95E2A" w:rsidRPr="00950E6F" w:rsidRDefault="00B95E2A" w:rsidP="0047783A">
            <w:pPr>
              <w:keepNext/>
              <w:keepLines/>
              <w:widowControl w:val="0"/>
              <w:jc w:val="center"/>
              <w:rPr>
                <w:b/>
                <w:sz w:val="22"/>
                <w:szCs w:val="22"/>
              </w:rPr>
            </w:pPr>
            <w:r w:rsidRPr="00950E6F">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1276"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0479E0">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0479E0">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1276"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0479E0">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1276"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0479E0">
        <w:trPr>
          <w:cantSplit/>
        </w:trPr>
        <w:tc>
          <w:tcPr>
            <w:tcW w:w="3261" w:type="dxa"/>
          </w:tcPr>
          <w:p w14:paraId="3D8820B8" w14:textId="77777777" w:rsidR="00267F66" w:rsidRPr="00CF5D66" w:rsidRDefault="00267F66" w:rsidP="00512586">
            <w:pPr>
              <w:keepNext/>
              <w:keepLines/>
              <w:widowControl w:val="0"/>
              <w:rPr>
                <w:sz w:val="22"/>
                <w:szCs w:val="22"/>
                <w:lang w:val="fr-BE"/>
              </w:rPr>
            </w:pPr>
            <w:r w:rsidRPr="00CF5D66">
              <w:rPr>
                <w:sz w:val="22"/>
                <w:szCs w:val="22"/>
                <w:highlight w:val="lightGray"/>
                <w:lang w:val="fr-BE"/>
              </w:rPr>
              <w:t>[Current ratio (current assets/current liabilities)</w:t>
            </w:r>
          </w:p>
        </w:tc>
        <w:tc>
          <w:tcPr>
            <w:tcW w:w="1417" w:type="dxa"/>
            <w:tcBorders>
              <w:bottom w:val="single" w:sz="6" w:space="0" w:color="auto"/>
            </w:tcBorders>
          </w:tcPr>
          <w:p w14:paraId="2A5C1646"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1634CA64" w:rsidR="00267F66" w:rsidRPr="006A5F84" w:rsidRDefault="00950E6F" w:rsidP="0047783A">
            <w:pPr>
              <w:keepNext/>
              <w:keepLines/>
              <w:widowControl w:val="0"/>
              <w:rPr>
                <w:sz w:val="22"/>
                <w:szCs w:val="22"/>
              </w:rPr>
            </w:pPr>
            <w:r w:rsidRPr="00950E6F">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3AF1B1F1" w:rsidR="0047783A" w:rsidRPr="006A5F84" w:rsidRDefault="0047783A" w:rsidP="0047783A">
      <w:pPr>
        <w:keepNext/>
        <w:widowControl w:val="0"/>
        <w:spacing w:before="240"/>
        <w:jc w:val="both"/>
        <w:rPr>
          <w:sz w:val="22"/>
          <w:szCs w:val="22"/>
        </w:rPr>
      </w:pPr>
      <w:r w:rsidRPr="002D59A9">
        <w:rPr>
          <w:sz w:val="22"/>
          <w:szCs w:val="22"/>
          <w:highlight w:val="lightGray"/>
        </w:rPr>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6D8EDFA5" w14:textId="77777777" w:rsidR="00950E6F" w:rsidRDefault="00950E6F" w:rsidP="0047783A">
      <w:pPr>
        <w:keepNext/>
        <w:keepLines/>
        <w:widowControl w:val="0"/>
        <w:spacing w:before="240"/>
        <w:jc w:val="both"/>
        <w:rPr>
          <w:sz w:val="22"/>
          <w:szCs w:val="22"/>
        </w:rPr>
      </w:pPr>
    </w:p>
    <w:p w14:paraId="59BDDAFA" w14:textId="0E04E9ED"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lastRenderedPageBreak/>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4FDF89B1"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sectPr w:rsidR="00601A79" w:rsidSect="00601A79">
      <w:headerReference w:type="even" r:id="rId22"/>
      <w:headerReference w:type="default" r:id="rId23"/>
      <w:footerReference w:type="even" r:id="rId24"/>
      <w:footerReference w:type="default" r:id="rId25"/>
      <w:headerReference w:type="first" r:id="rId26"/>
      <w:footerReference w:type="first" r:id="rId27"/>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43828A17" w:rsidR="004C51DD" w:rsidRPr="00601A79" w:rsidRDefault="00986672" w:rsidP="00601A79">
    <w:pPr>
      <w:pStyle w:val="Footer"/>
      <w:tabs>
        <w:tab w:val="clear" w:pos="8640"/>
        <w:tab w:val="right" w:pos="8505"/>
      </w:tabs>
      <w:spacing w:after="0"/>
      <w:rPr>
        <w:rStyle w:val="PageNumber"/>
        <w:sz w:val="18"/>
        <w:szCs w:val="18"/>
      </w:rPr>
    </w:pPr>
    <w:r>
      <w:rPr>
        <w:b/>
        <w:sz w:val="18"/>
      </w:rPr>
      <w:t>December</w:t>
    </w:r>
    <w:r w:rsidR="003F0370">
      <w:rPr>
        <w:b/>
        <w:sz w:val="18"/>
      </w:rPr>
      <w:t xml:space="preserve"> 2021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0D2EE9">
      <w:rPr>
        <w:rStyle w:val="PageNumber"/>
        <w:noProof/>
        <w:sz w:val="18"/>
        <w:szCs w:val="18"/>
      </w:rPr>
      <w:t>6</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0D2EE9">
      <w:rPr>
        <w:rStyle w:val="PageNumber"/>
        <w:noProof/>
        <w:sz w:val="18"/>
        <w:szCs w:val="18"/>
      </w:rPr>
      <w:t>9</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5841DF02" w:rsidR="004C51DD" w:rsidRPr="006A5F84" w:rsidRDefault="00986672" w:rsidP="00601A79">
    <w:pPr>
      <w:pStyle w:val="Footer"/>
      <w:tabs>
        <w:tab w:val="clear" w:pos="4320"/>
        <w:tab w:val="clear" w:pos="8640"/>
        <w:tab w:val="right" w:pos="9072"/>
      </w:tabs>
      <w:spacing w:after="0"/>
      <w:rPr>
        <w:sz w:val="18"/>
        <w:szCs w:val="18"/>
      </w:rPr>
    </w:pPr>
    <w:r>
      <w:rPr>
        <w:b/>
        <w:sz w:val="18"/>
      </w:rPr>
      <w:t xml:space="preserve">December </w:t>
    </w:r>
    <w:r w:rsidR="00376642">
      <w:rPr>
        <w:b/>
        <w:sz w:val="18"/>
      </w:rPr>
      <w:t>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D2EE9">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D2EE9">
      <w:rPr>
        <w:noProof/>
        <w:sz w:val="18"/>
        <w:szCs w:val="18"/>
      </w:rPr>
      <w:t>9</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594DC" w14:textId="681ED843" w:rsidR="00950E6F" w:rsidRPr="006A5F84" w:rsidRDefault="00950E6F" w:rsidP="00601A79">
    <w:pPr>
      <w:pStyle w:val="Footer"/>
      <w:tabs>
        <w:tab w:val="clear" w:pos="4320"/>
        <w:tab w:val="clear" w:pos="8640"/>
        <w:tab w:val="right" w:pos="9072"/>
      </w:tabs>
      <w:spacing w:after="0"/>
      <w:rPr>
        <w:sz w:val="18"/>
        <w:szCs w:val="18"/>
      </w:rPr>
    </w:pPr>
    <w:r>
      <w:rPr>
        <w:b/>
        <w:sz w:val="18"/>
      </w:rPr>
      <w:t>December 2021</w:t>
    </w:r>
    <w:r w:rsidRPr="006A5F8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A5F84">
      <w:rPr>
        <w:sz w:val="18"/>
        <w:szCs w:val="18"/>
      </w:rPr>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0D2EE9">
      <w:rPr>
        <w:noProof/>
        <w:sz w:val="18"/>
        <w:szCs w:val="18"/>
      </w:rPr>
      <w:t>3</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D2EE9">
      <w:rPr>
        <w:noProof/>
        <w:sz w:val="18"/>
        <w:szCs w:val="18"/>
      </w:rPr>
      <w:t>9</w:t>
    </w:r>
    <w:r w:rsidRPr="006A5F84">
      <w:rPr>
        <w:sz w:val="18"/>
        <w:szCs w:val="18"/>
      </w:rPr>
      <w:fldChar w:fldCharType="end"/>
    </w:r>
  </w:p>
  <w:p w14:paraId="7B3C9D40" w14:textId="77777777" w:rsidR="00950E6F" w:rsidRPr="006A5F84" w:rsidRDefault="00950E6F"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24D208C7" w:rsidR="004C51DD" w:rsidRPr="006A5F84" w:rsidRDefault="00986672" w:rsidP="00601A79">
    <w:pPr>
      <w:pStyle w:val="Footer"/>
      <w:tabs>
        <w:tab w:val="clear" w:pos="4320"/>
        <w:tab w:val="clear" w:pos="8640"/>
        <w:tab w:val="right" w:pos="14175"/>
      </w:tabs>
      <w:spacing w:after="0"/>
      <w:rPr>
        <w:sz w:val="18"/>
        <w:szCs w:val="18"/>
      </w:rPr>
    </w:pPr>
    <w:r>
      <w:rPr>
        <w:b/>
        <w:sz w:val="18"/>
      </w:rPr>
      <w:t>Dece</w:t>
    </w:r>
    <w:r w:rsidR="003F0370">
      <w:rPr>
        <w:b/>
        <w:sz w:val="18"/>
      </w:rPr>
      <w:t>mber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D2EE9">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D2EE9">
      <w:rPr>
        <w:noProof/>
        <w:sz w:val="18"/>
        <w:szCs w:val="18"/>
      </w:rPr>
      <w:t>9</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2DB363C5" w:rsidR="004C51DD" w:rsidRPr="006A5F84" w:rsidRDefault="00986672" w:rsidP="00601A79">
    <w:pPr>
      <w:pStyle w:val="Footer"/>
      <w:tabs>
        <w:tab w:val="clear" w:pos="4320"/>
        <w:tab w:val="clear" w:pos="8640"/>
        <w:tab w:val="right" w:pos="14175"/>
      </w:tabs>
      <w:spacing w:after="0"/>
      <w:rPr>
        <w:sz w:val="18"/>
        <w:szCs w:val="18"/>
      </w:rPr>
    </w:pPr>
    <w:r>
      <w:rPr>
        <w:b/>
        <w:sz w:val="18"/>
      </w:rPr>
      <w:t>Decembe</w:t>
    </w:r>
    <w:r w:rsidR="003F0370">
      <w:rPr>
        <w:b/>
        <w:sz w:val="18"/>
      </w:rPr>
      <w:t>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D2EE9">
      <w:rPr>
        <w:noProof/>
        <w:sz w:val="18"/>
        <w:szCs w:val="18"/>
      </w:rPr>
      <w:t>4</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D2EE9">
      <w:rPr>
        <w:noProof/>
        <w:sz w:val="18"/>
        <w:szCs w:val="18"/>
      </w:rPr>
      <w:t>9</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4B312C16" w:rsidR="004C51DD" w:rsidRPr="00601A79" w:rsidRDefault="00986672" w:rsidP="00601A79">
    <w:pPr>
      <w:pStyle w:val="Footer"/>
      <w:tabs>
        <w:tab w:val="clear" w:pos="4320"/>
        <w:tab w:val="clear" w:pos="8640"/>
        <w:tab w:val="right" w:pos="8647"/>
      </w:tabs>
      <w:spacing w:after="0"/>
      <w:ind w:right="6"/>
      <w:rPr>
        <w:rStyle w:val="PageNumber"/>
        <w:sz w:val="18"/>
        <w:szCs w:val="18"/>
      </w:rPr>
    </w:pPr>
    <w:r>
      <w:rPr>
        <w:b/>
        <w:sz w:val="18"/>
      </w:rPr>
      <w:t xml:space="preserve">December </w:t>
    </w:r>
    <w:r w:rsidR="00625CFA">
      <w:rPr>
        <w:b/>
        <w:sz w:val="18"/>
      </w:rPr>
      <w:t>2021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0D2EE9">
      <w:rPr>
        <w:rStyle w:val="PageNumber"/>
        <w:noProof/>
        <w:sz w:val="18"/>
        <w:szCs w:val="18"/>
      </w:rPr>
      <w:t>9</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0D2EE9">
      <w:rPr>
        <w:rStyle w:val="PageNumber"/>
        <w:noProof/>
        <w:sz w:val="18"/>
        <w:szCs w:val="18"/>
      </w:rPr>
      <w:t>9</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45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479E0"/>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2EE9"/>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8760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517B"/>
    <w:rsid w:val="003177E7"/>
    <w:rsid w:val="00322263"/>
    <w:rsid w:val="003308C6"/>
    <w:rsid w:val="00330F7E"/>
    <w:rsid w:val="00330FEE"/>
    <w:rsid w:val="00331973"/>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60A4"/>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154D"/>
    <w:rsid w:val="005C4310"/>
    <w:rsid w:val="005C78BC"/>
    <w:rsid w:val="005D4334"/>
    <w:rsid w:val="005D72F7"/>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5F84"/>
    <w:rsid w:val="006B0AB1"/>
    <w:rsid w:val="006C2F05"/>
    <w:rsid w:val="006C4CE1"/>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0E6F"/>
    <w:rsid w:val="00951374"/>
    <w:rsid w:val="009551FE"/>
    <w:rsid w:val="009676C2"/>
    <w:rsid w:val="00980A42"/>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2CD0"/>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66AF"/>
    <w:rsid w:val="00EB78F4"/>
    <w:rsid w:val="00EC50DA"/>
    <w:rsid w:val="00EC6822"/>
    <w:rsid w:val="00EE0ED9"/>
    <w:rsid w:val="00EE23B1"/>
    <w:rsid w:val="00EE2E55"/>
    <w:rsid w:val="00EE6F93"/>
    <w:rsid w:val="00EF0687"/>
    <w:rsid w:val="00EF07B9"/>
    <w:rsid w:val="00EF1C05"/>
    <w:rsid w:val="00EF3666"/>
    <w:rsid w:val="00EF3951"/>
    <w:rsid w:val="00EF6426"/>
    <w:rsid w:val="00F02006"/>
    <w:rsid w:val="00F0574A"/>
    <w:rsid w:val="00F10973"/>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30BE"/>
    <w:rsid w:val="00F85790"/>
    <w:rsid w:val="00F8628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D8B2-C288-4522-87CB-42EB7B61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BE860-64F8-4755-A91F-FEA0071B1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7C8AD4-6AC4-440C-8751-24040C4AE9D1}">
  <ds:schemaRefs>
    <ds:schemaRef ds:uri="http://schemas.microsoft.com/sharepoint/v3/contenttype/forms"/>
  </ds:schemaRefs>
</ds:datastoreItem>
</file>

<file path=customXml/itemProps4.xml><?xml version="1.0" encoding="utf-8"?>
<ds:datastoreItem xmlns:ds="http://schemas.openxmlformats.org/officeDocument/2006/customXml" ds:itemID="{2C106BC3-4FA6-417F-B9F5-C03052EC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9</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39</cp:revision>
  <cp:lastPrinted>2012-09-24T09:39:00Z</cp:lastPrinted>
  <dcterms:created xsi:type="dcterms:W3CDTF">2018-12-18T11:43:00Z</dcterms:created>
  <dcterms:modified xsi:type="dcterms:W3CDTF">2022-04-14T08:44:00Z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