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564272450" w:edGrp="everyone"/>
      <w:permEnd w:id="564272450"/>
      <w:r w:rsidRPr="006A5F84">
        <w:rPr>
          <w:i/>
          <w:sz w:val="28"/>
          <w:szCs w:val="28"/>
          <w:lang w:val="en-GB"/>
        </w:rPr>
        <w:t>TENDER FORM FOR A SUPPLY CONTRACT</w:t>
      </w:r>
      <w:bookmarkEnd w:id="0"/>
    </w:p>
    <w:bookmarkEnd w:id="1"/>
    <w:p w14:paraId="7AA77D66" w14:textId="1EF4566D" w:rsidR="0047783A" w:rsidRPr="007976E1" w:rsidRDefault="0047783A" w:rsidP="0047783A">
      <w:pPr>
        <w:pStyle w:val="Title"/>
        <w:jc w:val="left"/>
        <w:rPr>
          <w:b w:val="0"/>
          <w:sz w:val="22"/>
          <w:szCs w:val="22"/>
          <w:lang w:val="en-GB"/>
        </w:rPr>
      </w:pPr>
      <w:r w:rsidRPr="006A5F84">
        <w:rPr>
          <w:sz w:val="22"/>
          <w:szCs w:val="22"/>
          <w:lang w:val="en-GB"/>
        </w:rPr>
        <w:t xml:space="preserve">Publication reference: </w:t>
      </w:r>
      <w:r w:rsidR="007976E1" w:rsidRPr="007976E1">
        <w:rPr>
          <w:sz w:val="24"/>
          <w:szCs w:val="24"/>
          <w:lang w:val="en-GB"/>
        </w:rPr>
        <w:t xml:space="preserve"> </w:t>
      </w:r>
      <w:r w:rsidR="007976E1" w:rsidRPr="00E72C05">
        <w:rPr>
          <w:sz w:val="22"/>
          <w:szCs w:val="22"/>
          <w:lang w:val="en-GB"/>
        </w:rPr>
        <w:t>KSCR/PROC/2023-2025/</w:t>
      </w:r>
      <w:r w:rsidR="005513CA">
        <w:rPr>
          <w:sz w:val="22"/>
          <w:szCs w:val="22"/>
          <w:lang w:val="en-GB"/>
        </w:rPr>
        <w:t>1136</w:t>
      </w:r>
    </w:p>
    <w:p w14:paraId="0682B795" w14:textId="72E423FD"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w:t>
      </w:r>
      <w:r w:rsidR="007976E1" w:rsidRPr="007976E1">
        <w:rPr>
          <w:sz w:val="24"/>
          <w:szCs w:val="24"/>
          <w:lang w:val="en-GB"/>
        </w:rPr>
        <w:t xml:space="preserve"> </w:t>
      </w:r>
      <w:r w:rsidR="007976E1" w:rsidRPr="00E72C05">
        <w:rPr>
          <w:sz w:val="22"/>
          <w:szCs w:val="22"/>
          <w:lang w:val="en-GB"/>
        </w:rPr>
        <w:t xml:space="preserve">Supply and delivery of three </w:t>
      </w:r>
      <w:bookmarkStart w:id="2" w:name="_GoBack"/>
      <w:bookmarkEnd w:id="2"/>
      <w:r w:rsidR="007976E1" w:rsidRPr="00E72C05">
        <w:rPr>
          <w:sz w:val="22"/>
          <w:szCs w:val="22"/>
          <w:lang w:val="en-GB"/>
        </w:rPr>
        <w:t>passenger minivans to the Kosovo Specialist Chambers in The Hague</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6218767B" w:rsidR="0047783A" w:rsidRPr="001E53C4" w:rsidRDefault="0047783A" w:rsidP="0047783A">
      <w:pPr>
        <w:rPr>
          <w:b/>
          <w:sz w:val="22"/>
          <w:szCs w:val="22"/>
        </w:rPr>
      </w:pPr>
      <w:r w:rsidRPr="006A5F84">
        <w:rPr>
          <w:b/>
          <w:sz w:val="22"/>
          <w:szCs w:val="22"/>
        </w:rPr>
        <w:t xml:space="preserve">A: </w:t>
      </w:r>
      <w:bookmarkStart w:id="3" w:name="_Hlk128052516"/>
      <w:bookmarkStart w:id="4" w:name="_Hlk124869425"/>
      <w:r w:rsidR="007976E1" w:rsidRPr="007976E1">
        <w:rPr>
          <w:b/>
        </w:rPr>
        <w:t xml:space="preserve"> </w:t>
      </w:r>
      <w:r w:rsidR="007976E1" w:rsidRPr="00E72C05">
        <w:rPr>
          <w:b/>
          <w:sz w:val="22"/>
          <w:szCs w:val="22"/>
        </w:rPr>
        <w:t xml:space="preserve">Kosovo Specialist Chambers, </w:t>
      </w:r>
      <w:proofErr w:type="spellStart"/>
      <w:r w:rsidR="007976E1" w:rsidRPr="00E72C05">
        <w:rPr>
          <w:b/>
          <w:sz w:val="22"/>
          <w:szCs w:val="22"/>
        </w:rPr>
        <w:t>Raamweg</w:t>
      </w:r>
      <w:proofErr w:type="spellEnd"/>
      <w:r w:rsidR="007976E1" w:rsidRPr="00E72C05">
        <w:rPr>
          <w:b/>
          <w:sz w:val="22"/>
          <w:szCs w:val="22"/>
        </w:rPr>
        <w:t xml:space="preserve"> 47, 2596 HN,</w:t>
      </w:r>
      <w:bookmarkEnd w:id="3"/>
      <w:r w:rsidR="007976E1" w:rsidRPr="00E72C05">
        <w:rPr>
          <w:b/>
          <w:sz w:val="22"/>
          <w:szCs w:val="22"/>
        </w:rPr>
        <w:t xml:space="preserve"> The Hague</w:t>
      </w:r>
      <w:bookmarkEnd w:id="4"/>
      <w:r w:rsidR="001E53C4">
        <w:rPr>
          <w:b/>
          <w:sz w:val="22"/>
          <w:szCs w:val="22"/>
        </w:rPr>
        <w:t>, The Netherlands</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6FC5D4F1" w14:textId="77777777"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3661BFDF" w14:textId="77777777"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5113C5CD" w14:textId="408B72F0"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w:t>
      </w:r>
      <w:proofErr w:type="spellStart"/>
      <w:r w:rsidRPr="003A40CF">
        <w:rPr>
          <w:sz w:val="22"/>
          <w:szCs w:val="22"/>
          <w:highlight w:val="yellow"/>
          <w:lang w:val="en-GB"/>
        </w:rPr>
        <w:t>economical</w:t>
      </w:r>
      <w:proofErr w:type="spellEnd"/>
      <w:r w:rsidRPr="003A40CF">
        <w:rPr>
          <w:sz w:val="22"/>
          <w:szCs w:val="22"/>
          <w:highlight w:val="yellow"/>
          <w:lang w:val="en-GB"/>
        </w:rPr>
        <w:t xml:space="preserve"> and ecological reasons, </w:t>
      </w:r>
      <w:r>
        <w:rPr>
          <w:sz w:val="22"/>
          <w:szCs w:val="22"/>
          <w:highlight w:val="yellow"/>
          <w:lang w:val="en-GB"/>
        </w:rPr>
        <w:t>it is</w:t>
      </w:r>
      <w:r w:rsidRPr="003A40CF">
        <w:rPr>
          <w:sz w:val="22"/>
          <w:szCs w:val="22"/>
          <w:highlight w:val="yellow"/>
          <w:lang w:val="en-GB"/>
        </w:rPr>
        <w:t xml:space="preserve"> </w:t>
      </w:r>
      <w:proofErr w:type="gramStart"/>
      <w:r w:rsidRPr="003A40CF">
        <w:rPr>
          <w:sz w:val="22"/>
          <w:szCs w:val="22"/>
          <w:highlight w:val="yellow"/>
          <w:lang w:val="en-GB"/>
        </w:rPr>
        <w:t>recommend</w:t>
      </w:r>
      <w:proofErr w:type="gramEnd"/>
      <w:r w:rsidRPr="003A40CF">
        <w:rPr>
          <w:sz w:val="22"/>
          <w:szCs w:val="22"/>
          <w:highlight w:val="yellow"/>
          <w:lang w:val="en-GB"/>
        </w:rPr>
        <w:t xml:space="preserve">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7E982A5A" w14:textId="40BB1E99" w:rsidR="000714DC" w:rsidRDefault="000714DC" w:rsidP="000714DC">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10)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proofErr w:type="spellStart"/>
      <w:r>
        <w:rPr>
          <w:b/>
          <w:sz w:val="22"/>
          <w:szCs w:val="22"/>
          <w:highlight w:val="yellow"/>
          <w:lang w:val="en-GB"/>
        </w:rPr>
        <w:t>e</w:t>
      </w:r>
      <w:r w:rsidRPr="001D5D2F">
        <w:rPr>
          <w:b/>
          <w:sz w:val="22"/>
          <w:szCs w:val="22"/>
          <w:highlight w:val="yellow"/>
          <w:lang w:val="en-GB"/>
        </w:rPr>
        <w:t>Submission</w:t>
      </w:r>
      <w:proofErr w:type="spellEnd"/>
      <w:r>
        <w:rPr>
          <w:sz w:val="22"/>
          <w:szCs w:val="22"/>
          <w:highlight w:val="yellow"/>
          <w:lang w:val="en-GB"/>
        </w:rPr>
        <w:t xml:space="preserve">: declarations and statements shall be signed, scanned and uploaded in </w:t>
      </w:r>
      <w:proofErr w:type="spellStart"/>
      <w:r>
        <w:rPr>
          <w:sz w:val="22"/>
          <w:szCs w:val="22"/>
          <w:highlight w:val="yellow"/>
          <w:lang w:val="en-GB"/>
        </w:rPr>
        <w:t>eSubmission</w:t>
      </w:r>
      <w:proofErr w:type="spellEnd"/>
      <w:r>
        <w:rPr>
          <w:sz w:val="22"/>
          <w:szCs w:val="22"/>
          <w:highlight w:val="yellow"/>
          <w:lang w:val="en-GB"/>
        </w:rPr>
        <w:t>.</w:t>
      </w:r>
      <w:r>
        <w:rPr>
          <w:b/>
          <w:sz w:val="22"/>
          <w:szCs w:val="22"/>
          <w:highlight w:val="yellow"/>
          <w:lang w:val="en-GB"/>
        </w:rPr>
        <w:t xml:space="preserve"> </w:t>
      </w:r>
      <w:r w:rsidRPr="002846FC">
        <w:rPr>
          <w:sz w:val="22"/>
          <w:szCs w:val="22"/>
          <w:highlight w:val="yellow"/>
          <w:lang w:val="en-GB"/>
        </w:rPr>
        <w:t>See further instructions below</w:t>
      </w:r>
      <w:r w:rsidR="00B60E33">
        <w:rPr>
          <w:sz w:val="22"/>
          <w:szCs w:val="22"/>
          <w:highlight w:val="yellow"/>
          <w:lang w:val="en-GB"/>
        </w:rPr>
        <w:t>.</w:t>
      </w:r>
    </w:p>
    <w:p w14:paraId="2E9DB994" w14:textId="77777777"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w:t>
      </w:r>
      <w:r>
        <w:rPr>
          <w:sz w:val="22"/>
          <w:szCs w:val="22"/>
        </w:rPr>
        <w:lastRenderedPageBreak/>
        <w:t xml:space="preserve">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 xml:space="preserve">CONTACT </w:t>
      </w:r>
      <w:proofErr w:type="gramStart"/>
      <w:r w:rsidRPr="006A5F84">
        <w:rPr>
          <w:b/>
          <w:sz w:val="24"/>
          <w:szCs w:val="24"/>
        </w:rPr>
        <w:t>PERSON</w:t>
      </w:r>
      <w:proofErr w:type="gramEnd"/>
      <w:r w:rsidRPr="006A5F84">
        <w:rPr>
          <w:b/>
          <w:sz w:val="24"/>
          <w:szCs w:val="24"/>
        </w:rPr>
        <w:t xml:space="preserve">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21ACF4B2" w:rsidR="00230A73"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00230A73" w:rsidRPr="006A5F84">
        <w:rPr>
          <w:rStyle w:val="EndnoteReference"/>
          <w:b/>
          <w:sz w:val="24"/>
          <w:szCs w:val="24"/>
        </w:rPr>
        <w:endnoteReference w:id="1"/>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3"/>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992D488" w:rsidR="00432715" w:rsidRPr="006A5F84"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4"/>
            </w:r>
          </w:p>
          <w:p w14:paraId="2B70B889" w14:textId="14F3396E" w:rsidR="00B34C65" w:rsidRDefault="00211B2A" w:rsidP="00B34C65">
            <w:pPr>
              <w:widowControl w:val="0"/>
              <w:spacing w:before="60" w:after="60"/>
              <w:jc w:val="center"/>
              <w:rPr>
                <w:b/>
                <w:sz w:val="22"/>
                <w:szCs w:val="22"/>
              </w:rPr>
            </w:pPr>
            <w:r>
              <w:rPr>
                <w:b/>
                <w:sz w:val="22"/>
                <w:szCs w:val="22"/>
                <w:highlight w:val="yellow"/>
              </w:rPr>
              <w:t>2020</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2D444F2" w:rsidR="00B34C65" w:rsidRDefault="00B34C65" w:rsidP="00B34C65">
            <w:pPr>
              <w:widowControl w:val="0"/>
              <w:spacing w:before="60" w:after="60"/>
              <w:jc w:val="center"/>
              <w:rPr>
                <w:b/>
                <w:sz w:val="22"/>
                <w:szCs w:val="22"/>
              </w:rPr>
            </w:pPr>
            <w:r w:rsidRPr="006A5F84">
              <w:rPr>
                <w:b/>
              </w:rPr>
              <w:t>Year before last year</w:t>
            </w:r>
            <w:r w:rsidRPr="006A5F84">
              <w:rPr>
                <w:b/>
              </w:rPr>
              <w:br/>
            </w:r>
            <w:r w:rsidR="00211B2A">
              <w:rPr>
                <w:b/>
                <w:sz w:val="22"/>
                <w:szCs w:val="22"/>
                <w:highlight w:val="yellow"/>
              </w:rPr>
              <w:t>2021</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319C81E5" w:rsidR="00B34C65" w:rsidRDefault="00B34C65" w:rsidP="00B34C65">
            <w:pPr>
              <w:widowControl w:val="0"/>
              <w:spacing w:before="60" w:after="60"/>
              <w:jc w:val="center"/>
              <w:rPr>
                <w:b/>
                <w:sz w:val="22"/>
                <w:szCs w:val="22"/>
              </w:rPr>
            </w:pPr>
            <w:r w:rsidRPr="006A5F84">
              <w:rPr>
                <w:b/>
              </w:rPr>
              <w:t>Last year</w:t>
            </w:r>
            <w:r w:rsidRPr="006A5F84">
              <w:rPr>
                <w:b/>
              </w:rPr>
              <w:br/>
            </w:r>
            <w:r w:rsidR="00211B2A">
              <w:rPr>
                <w:b/>
                <w:sz w:val="22"/>
                <w:szCs w:val="22"/>
                <w:highlight w:val="yellow"/>
              </w:rPr>
              <w:t>202</w:t>
            </w:r>
            <w:r w:rsidR="000C09F3">
              <w:rPr>
                <w:b/>
                <w:sz w:val="22"/>
                <w:szCs w:val="22"/>
                <w:highlight w:val="yellow"/>
              </w:rPr>
              <w:t>2</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5"/>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0F13DAEB" w:rsidR="00B34C65" w:rsidRPr="00D64597" w:rsidRDefault="00B34C65" w:rsidP="00B34C65">
            <w:pPr>
              <w:widowControl w:val="0"/>
              <w:spacing w:before="60" w:after="60"/>
              <w:jc w:val="center"/>
              <w:rPr>
                <w:b/>
                <w:highlight w:val="lightGray"/>
              </w:rPr>
            </w:pPr>
            <w:r w:rsidRPr="00D64597">
              <w:rPr>
                <w:b/>
                <w:highlight w:val="lightGray"/>
              </w:rPr>
              <w:t>[Past year</w:t>
            </w:r>
            <w:r w:rsidR="000C09F3">
              <w:rPr>
                <w:b/>
                <w:highlight w:val="lightGray"/>
              </w:rPr>
              <w:t xml:space="preserve"> 2023</w:t>
            </w:r>
          </w:p>
          <w:p w14:paraId="0B3C0E60" w14:textId="77777777"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13508EC4"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CF1700" w:rsidRPr="006A5F84" w14:paraId="2AB967C0" w14:textId="77777777" w:rsidTr="000C09F3">
        <w:trPr>
          <w:cantSplit/>
        </w:trPr>
        <w:tc>
          <w:tcPr>
            <w:tcW w:w="3686" w:type="dxa"/>
            <w:tcBorders>
              <w:top w:val="single" w:sz="6" w:space="0" w:color="auto"/>
              <w:bottom w:val="double" w:sz="4" w:space="0" w:color="auto"/>
            </w:tcBorders>
          </w:tcPr>
          <w:p w14:paraId="50DFC277" w14:textId="77777777" w:rsidR="00CF1700" w:rsidRPr="006A5F84" w:rsidRDefault="00CF1700" w:rsidP="00CF1700">
            <w:pPr>
              <w:keepNext/>
              <w:keepLines/>
              <w:widowControl w:val="0"/>
            </w:pPr>
            <w:r w:rsidRPr="006A5F84">
              <w:t>Annual turnover</w:t>
            </w:r>
            <w:r w:rsidRPr="006A5F84">
              <w:rPr>
                <w:rStyle w:val="FootnoteReference"/>
              </w:rPr>
              <w:footnoteReference w:id="6"/>
            </w:r>
            <w:r w:rsidRPr="006A5F84">
              <w:t>, excluding this contract</w:t>
            </w:r>
          </w:p>
        </w:tc>
        <w:tc>
          <w:tcPr>
            <w:tcW w:w="992" w:type="dxa"/>
            <w:tcBorders>
              <w:top w:val="single" w:sz="6" w:space="0" w:color="auto"/>
              <w:bottom w:val="double" w:sz="4" w:space="0" w:color="auto"/>
            </w:tcBorders>
          </w:tcPr>
          <w:p w14:paraId="33341FA1" w14:textId="77777777" w:rsidR="00CF1700" w:rsidRPr="006A5F84" w:rsidRDefault="00CF1700" w:rsidP="00CF1700">
            <w:pPr>
              <w:keepNext/>
              <w:keepLines/>
              <w:widowControl w:val="0"/>
            </w:pPr>
          </w:p>
        </w:tc>
        <w:tc>
          <w:tcPr>
            <w:tcW w:w="1134" w:type="dxa"/>
            <w:tcBorders>
              <w:top w:val="single" w:sz="6" w:space="0" w:color="auto"/>
              <w:bottom w:val="double" w:sz="4" w:space="0" w:color="auto"/>
            </w:tcBorders>
          </w:tcPr>
          <w:p w14:paraId="71AE3981" w14:textId="77777777" w:rsidR="00CF1700" w:rsidRPr="006A5F84" w:rsidRDefault="00CF1700" w:rsidP="00CF1700">
            <w:pPr>
              <w:keepNext/>
              <w:keepLines/>
              <w:widowControl w:val="0"/>
            </w:pPr>
          </w:p>
        </w:tc>
        <w:tc>
          <w:tcPr>
            <w:tcW w:w="992" w:type="dxa"/>
            <w:tcBorders>
              <w:top w:val="single" w:sz="6" w:space="0" w:color="auto"/>
              <w:bottom w:val="double" w:sz="4" w:space="0" w:color="auto"/>
            </w:tcBorders>
          </w:tcPr>
          <w:p w14:paraId="43E0F7C8" w14:textId="77777777" w:rsidR="00CF1700" w:rsidRPr="006A5F84" w:rsidRDefault="00CF1700" w:rsidP="00CF1700">
            <w:pPr>
              <w:keepNext/>
              <w:keepLines/>
              <w:widowControl w:val="0"/>
            </w:pPr>
          </w:p>
        </w:tc>
        <w:tc>
          <w:tcPr>
            <w:tcW w:w="993" w:type="dxa"/>
            <w:tcBorders>
              <w:top w:val="single" w:sz="6" w:space="0" w:color="auto"/>
              <w:bottom w:val="double" w:sz="4" w:space="0" w:color="auto"/>
            </w:tcBorders>
          </w:tcPr>
          <w:p w14:paraId="288E9F7B" w14:textId="77777777" w:rsidR="00CF1700" w:rsidRPr="006A5F84" w:rsidRDefault="00CF1700" w:rsidP="00CF1700">
            <w:pPr>
              <w:keepNext/>
              <w:keepLines/>
              <w:widowControl w:val="0"/>
            </w:pPr>
          </w:p>
        </w:tc>
        <w:tc>
          <w:tcPr>
            <w:tcW w:w="993" w:type="dxa"/>
            <w:tcBorders>
              <w:top w:val="single" w:sz="6" w:space="0" w:color="auto"/>
              <w:bottom w:val="double" w:sz="4" w:space="0" w:color="auto"/>
            </w:tcBorders>
          </w:tcPr>
          <w:p w14:paraId="0288F3C6" w14:textId="77777777" w:rsidR="00CF1700" w:rsidRPr="006A5F84" w:rsidRDefault="00CF1700" w:rsidP="00CF1700">
            <w:pPr>
              <w:keepNext/>
              <w:keepLines/>
              <w:widowControl w:val="0"/>
            </w:pPr>
          </w:p>
        </w:tc>
        <w:tc>
          <w:tcPr>
            <w:tcW w:w="993" w:type="dxa"/>
            <w:tcBorders>
              <w:top w:val="single" w:sz="6" w:space="0" w:color="auto"/>
              <w:bottom w:val="double" w:sz="4" w:space="0" w:color="auto"/>
            </w:tcBorders>
            <w:shd w:val="clear" w:color="auto" w:fill="F2F2F2" w:themeFill="background1" w:themeFillShade="F2"/>
            <w:vAlign w:val="center"/>
          </w:tcPr>
          <w:p w14:paraId="5AFCAE59" w14:textId="72ACE8DE" w:rsidR="00CF1700" w:rsidRPr="006A5F84" w:rsidRDefault="00CF1700" w:rsidP="00E72C05">
            <w:pPr>
              <w:keepNext/>
              <w:keepLines/>
              <w:widowControl w:val="0"/>
              <w:ind w:right="-131"/>
            </w:pPr>
            <w:r w:rsidRPr="004F0604">
              <w:t>Not applicable</w:t>
            </w:r>
          </w:p>
        </w:tc>
      </w:tr>
      <w:tr w:rsidR="00CF1700" w:rsidRPr="006A5F84" w14:paraId="17905F3F" w14:textId="77777777" w:rsidTr="000C09F3">
        <w:trPr>
          <w:cantSplit/>
        </w:trPr>
        <w:tc>
          <w:tcPr>
            <w:tcW w:w="3686" w:type="dxa"/>
            <w:tcBorders>
              <w:top w:val="nil"/>
            </w:tcBorders>
            <w:shd w:val="clear" w:color="auto" w:fill="F2F2F2" w:themeFill="background1" w:themeFillShade="F2"/>
          </w:tcPr>
          <w:p w14:paraId="25CDEBF2" w14:textId="591AD94F" w:rsidR="00CF1700" w:rsidRPr="000C09F3" w:rsidRDefault="00CF1700" w:rsidP="00CF1700">
            <w:pPr>
              <w:keepNext/>
              <w:keepLines/>
              <w:widowControl w:val="0"/>
            </w:pPr>
            <w:r w:rsidRPr="000C09F3">
              <w:t xml:space="preserve">Current assets </w:t>
            </w:r>
          </w:p>
        </w:tc>
        <w:tc>
          <w:tcPr>
            <w:tcW w:w="992" w:type="dxa"/>
            <w:tcBorders>
              <w:top w:val="nil"/>
              <w:bottom w:val="single" w:sz="6" w:space="0" w:color="auto"/>
            </w:tcBorders>
            <w:shd w:val="clear" w:color="auto" w:fill="F2F2F2" w:themeFill="background1" w:themeFillShade="F2"/>
          </w:tcPr>
          <w:p w14:paraId="67E1696B" w14:textId="0BDAFB76" w:rsidR="00CF1700" w:rsidRPr="000C09F3" w:rsidRDefault="00CF1700" w:rsidP="00E72C05">
            <w:pPr>
              <w:keepNext/>
              <w:keepLines/>
              <w:widowControl w:val="0"/>
              <w:ind w:right="-128"/>
            </w:pPr>
            <w:r w:rsidRPr="000C09F3">
              <w:t>Not applicable</w:t>
            </w:r>
          </w:p>
        </w:tc>
        <w:tc>
          <w:tcPr>
            <w:tcW w:w="1134" w:type="dxa"/>
            <w:tcBorders>
              <w:top w:val="nil"/>
              <w:bottom w:val="single" w:sz="6" w:space="0" w:color="auto"/>
            </w:tcBorders>
            <w:shd w:val="clear" w:color="auto" w:fill="F2F2F2" w:themeFill="background1" w:themeFillShade="F2"/>
          </w:tcPr>
          <w:p w14:paraId="4D962B27" w14:textId="6AED8F05" w:rsidR="00CF1700" w:rsidRPr="000C09F3" w:rsidRDefault="00CF1700" w:rsidP="00CF1700">
            <w:pPr>
              <w:keepNext/>
              <w:keepLines/>
              <w:widowControl w:val="0"/>
            </w:pPr>
            <w:r w:rsidRPr="000C09F3">
              <w:t>Not applicable</w:t>
            </w:r>
          </w:p>
        </w:tc>
        <w:tc>
          <w:tcPr>
            <w:tcW w:w="992" w:type="dxa"/>
            <w:tcBorders>
              <w:top w:val="nil"/>
              <w:bottom w:val="single" w:sz="6" w:space="0" w:color="auto"/>
            </w:tcBorders>
            <w:shd w:val="clear" w:color="auto" w:fill="F2F2F2" w:themeFill="background1" w:themeFillShade="F2"/>
          </w:tcPr>
          <w:p w14:paraId="1502459F" w14:textId="369492A7" w:rsidR="00CF1700" w:rsidRPr="000C09F3" w:rsidRDefault="00CF1700" w:rsidP="00E72C05">
            <w:pPr>
              <w:keepNext/>
              <w:keepLines/>
              <w:widowControl w:val="0"/>
              <w:ind w:right="-130"/>
            </w:pPr>
            <w:r w:rsidRPr="000C09F3">
              <w:t>Not applicable</w:t>
            </w:r>
          </w:p>
        </w:tc>
        <w:tc>
          <w:tcPr>
            <w:tcW w:w="993" w:type="dxa"/>
            <w:tcBorders>
              <w:top w:val="nil"/>
              <w:bottom w:val="single" w:sz="6" w:space="0" w:color="auto"/>
            </w:tcBorders>
            <w:shd w:val="clear" w:color="auto" w:fill="F2F2F2" w:themeFill="background1" w:themeFillShade="F2"/>
            <w:vAlign w:val="center"/>
          </w:tcPr>
          <w:p w14:paraId="13359F0F" w14:textId="7CCAD06E" w:rsidR="00CF1700" w:rsidRPr="000C09F3" w:rsidRDefault="00CF1700" w:rsidP="00E72C05">
            <w:pPr>
              <w:keepNext/>
              <w:keepLines/>
              <w:widowControl w:val="0"/>
              <w:ind w:right="-126"/>
            </w:pPr>
            <w:r w:rsidRPr="000C09F3">
              <w:t>Not applicable</w:t>
            </w:r>
          </w:p>
        </w:tc>
        <w:tc>
          <w:tcPr>
            <w:tcW w:w="993" w:type="dxa"/>
            <w:tcBorders>
              <w:top w:val="nil"/>
              <w:bottom w:val="single" w:sz="6" w:space="0" w:color="auto"/>
            </w:tcBorders>
            <w:shd w:val="clear" w:color="auto" w:fill="F2F2F2" w:themeFill="background1" w:themeFillShade="F2"/>
            <w:vAlign w:val="center"/>
          </w:tcPr>
          <w:p w14:paraId="0B23C211" w14:textId="0BAAFBE8" w:rsidR="00CF1700" w:rsidRPr="000C09F3" w:rsidRDefault="00CF1700" w:rsidP="00E72C05">
            <w:pPr>
              <w:keepNext/>
              <w:keepLines/>
              <w:widowControl w:val="0"/>
              <w:ind w:right="-123"/>
            </w:pPr>
            <w:r w:rsidRPr="000C09F3">
              <w:t>Not applicable</w:t>
            </w:r>
          </w:p>
        </w:tc>
        <w:tc>
          <w:tcPr>
            <w:tcW w:w="993" w:type="dxa"/>
            <w:tcBorders>
              <w:top w:val="nil"/>
              <w:bottom w:val="single" w:sz="6" w:space="0" w:color="auto"/>
            </w:tcBorders>
            <w:shd w:val="clear" w:color="auto" w:fill="F2F2F2" w:themeFill="background1" w:themeFillShade="F2"/>
          </w:tcPr>
          <w:p w14:paraId="75D8C1D1" w14:textId="398EB525" w:rsidR="00CF1700" w:rsidRPr="000C09F3" w:rsidRDefault="00CF1700" w:rsidP="00E72C05">
            <w:pPr>
              <w:keepNext/>
              <w:keepLines/>
              <w:widowControl w:val="0"/>
              <w:ind w:right="-131"/>
            </w:pPr>
            <w:r w:rsidRPr="000C09F3">
              <w:t>Not applicable</w:t>
            </w:r>
          </w:p>
        </w:tc>
      </w:tr>
      <w:tr w:rsidR="00CF1700" w:rsidRPr="006A5F84" w14:paraId="5D3EDFF6" w14:textId="77777777" w:rsidTr="000C09F3">
        <w:trPr>
          <w:cantSplit/>
        </w:trPr>
        <w:tc>
          <w:tcPr>
            <w:tcW w:w="3686" w:type="dxa"/>
            <w:shd w:val="clear" w:color="auto" w:fill="F2F2F2" w:themeFill="background1" w:themeFillShade="F2"/>
          </w:tcPr>
          <w:p w14:paraId="18A2B228" w14:textId="760F945F" w:rsidR="00CF1700" w:rsidRPr="000C09F3" w:rsidRDefault="00CF1700" w:rsidP="00CF1700">
            <w:pPr>
              <w:keepNext/>
              <w:keepLines/>
              <w:widowControl w:val="0"/>
            </w:pPr>
            <w:r w:rsidRPr="000C09F3">
              <w:t xml:space="preserve">Current liabilities </w:t>
            </w:r>
          </w:p>
        </w:tc>
        <w:tc>
          <w:tcPr>
            <w:tcW w:w="992" w:type="dxa"/>
            <w:tcBorders>
              <w:top w:val="single" w:sz="6" w:space="0" w:color="auto"/>
              <w:bottom w:val="single" w:sz="6" w:space="0" w:color="auto"/>
            </w:tcBorders>
            <w:shd w:val="clear" w:color="auto" w:fill="F2F2F2" w:themeFill="background1" w:themeFillShade="F2"/>
          </w:tcPr>
          <w:p w14:paraId="349959D6" w14:textId="190A9DB8" w:rsidR="00CF1700" w:rsidRPr="000C09F3" w:rsidRDefault="00CF1700" w:rsidP="00CF1700">
            <w:pPr>
              <w:keepNext/>
              <w:keepLines/>
              <w:widowControl w:val="0"/>
              <w:ind w:right="-128"/>
            </w:pPr>
            <w:r w:rsidRPr="000C09F3">
              <w:t>Not applicable</w:t>
            </w:r>
          </w:p>
        </w:tc>
        <w:tc>
          <w:tcPr>
            <w:tcW w:w="1134" w:type="dxa"/>
            <w:tcBorders>
              <w:top w:val="single" w:sz="6" w:space="0" w:color="auto"/>
              <w:bottom w:val="single" w:sz="6" w:space="0" w:color="auto"/>
            </w:tcBorders>
            <w:shd w:val="clear" w:color="auto" w:fill="F2F2F2" w:themeFill="background1" w:themeFillShade="F2"/>
          </w:tcPr>
          <w:p w14:paraId="7A182E25" w14:textId="47515025" w:rsidR="00CF1700" w:rsidRPr="000C09F3" w:rsidRDefault="00CF1700" w:rsidP="00CF1700">
            <w:pPr>
              <w:keepNext/>
              <w:keepLines/>
              <w:widowControl w:val="0"/>
            </w:pPr>
            <w:r w:rsidRPr="000C09F3">
              <w:t>Not applicable</w:t>
            </w:r>
          </w:p>
        </w:tc>
        <w:tc>
          <w:tcPr>
            <w:tcW w:w="992" w:type="dxa"/>
            <w:tcBorders>
              <w:top w:val="single" w:sz="6" w:space="0" w:color="auto"/>
              <w:bottom w:val="single" w:sz="6" w:space="0" w:color="auto"/>
            </w:tcBorders>
            <w:shd w:val="clear" w:color="auto" w:fill="F2F2F2" w:themeFill="background1" w:themeFillShade="F2"/>
          </w:tcPr>
          <w:p w14:paraId="0CAF459E" w14:textId="157C6D0B" w:rsidR="00CF1700" w:rsidRPr="000C09F3" w:rsidRDefault="00CF1700" w:rsidP="00CF1700">
            <w:pPr>
              <w:keepNext/>
              <w:keepLines/>
              <w:widowControl w:val="0"/>
              <w:ind w:right="-130"/>
            </w:pPr>
            <w:r w:rsidRPr="000C09F3">
              <w:t>Not applicable</w:t>
            </w:r>
          </w:p>
        </w:tc>
        <w:tc>
          <w:tcPr>
            <w:tcW w:w="993" w:type="dxa"/>
            <w:tcBorders>
              <w:top w:val="single" w:sz="6" w:space="0" w:color="auto"/>
              <w:bottom w:val="single" w:sz="6" w:space="0" w:color="auto"/>
            </w:tcBorders>
            <w:shd w:val="clear" w:color="auto" w:fill="F2F2F2" w:themeFill="background1" w:themeFillShade="F2"/>
            <w:vAlign w:val="center"/>
          </w:tcPr>
          <w:p w14:paraId="3B0E81C2" w14:textId="616FEB0D" w:rsidR="00CF1700" w:rsidRPr="000C09F3" w:rsidRDefault="00CF1700" w:rsidP="00CF1700">
            <w:pPr>
              <w:keepNext/>
              <w:keepLines/>
              <w:widowControl w:val="0"/>
              <w:ind w:right="-126"/>
            </w:pPr>
            <w:r w:rsidRPr="000C09F3">
              <w:t>Not applicable</w:t>
            </w:r>
          </w:p>
        </w:tc>
        <w:tc>
          <w:tcPr>
            <w:tcW w:w="993" w:type="dxa"/>
            <w:tcBorders>
              <w:top w:val="single" w:sz="6" w:space="0" w:color="auto"/>
              <w:bottom w:val="single" w:sz="6" w:space="0" w:color="auto"/>
            </w:tcBorders>
            <w:shd w:val="clear" w:color="auto" w:fill="F2F2F2" w:themeFill="background1" w:themeFillShade="F2"/>
            <w:vAlign w:val="center"/>
          </w:tcPr>
          <w:p w14:paraId="3694D4A1" w14:textId="1D994A6F" w:rsidR="00CF1700" w:rsidRPr="000C09F3" w:rsidRDefault="00CF1700" w:rsidP="00CF1700">
            <w:pPr>
              <w:keepNext/>
              <w:keepLines/>
              <w:widowControl w:val="0"/>
              <w:ind w:right="-123"/>
            </w:pPr>
            <w:r w:rsidRPr="000C09F3">
              <w:t>Not applicable</w:t>
            </w:r>
          </w:p>
        </w:tc>
        <w:tc>
          <w:tcPr>
            <w:tcW w:w="993" w:type="dxa"/>
            <w:tcBorders>
              <w:top w:val="single" w:sz="6" w:space="0" w:color="auto"/>
              <w:bottom w:val="single" w:sz="6" w:space="0" w:color="auto"/>
            </w:tcBorders>
            <w:shd w:val="clear" w:color="auto" w:fill="F2F2F2" w:themeFill="background1" w:themeFillShade="F2"/>
          </w:tcPr>
          <w:p w14:paraId="06AE0693" w14:textId="72037BE3" w:rsidR="00CF1700" w:rsidRPr="000C09F3" w:rsidRDefault="00CF1700" w:rsidP="00CF1700">
            <w:pPr>
              <w:keepNext/>
              <w:keepLines/>
              <w:widowControl w:val="0"/>
              <w:ind w:right="-131"/>
            </w:pPr>
            <w:r w:rsidRPr="000C09F3">
              <w:t>Not applicable</w:t>
            </w:r>
          </w:p>
        </w:tc>
      </w:tr>
      <w:tr w:rsidR="00CF1700" w:rsidRPr="006A5F84" w14:paraId="09234011" w14:textId="77777777" w:rsidTr="000C09F3">
        <w:trPr>
          <w:cantSplit/>
        </w:trPr>
        <w:tc>
          <w:tcPr>
            <w:tcW w:w="3686" w:type="dxa"/>
            <w:shd w:val="clear" w:color="auto" w:fill="F2F2F2" w:themeFill="background1" w:themeFillShade="F2"/>
          </w:tcPr>
          <w:p w14:paraId="5022C0CD" w14:textId="77777777" w:rsidR="00CF1700" w:rsidRPr="000C09F3" w:rsidRDefault="00CF1700" w:rsidP="00CF1700">
            <w:pPr>
              <w:keepNext/>
              <w:keepLines/>
              <w:widowControl w:val="0"/>
              <w:rPr>
                <w:lang w:val="fr-BE"/>
              </w:rPr>
            </w:pPr>
            <w:r w:rsidRPr="000C09F3">
              <w:rPr>
                <w:lang w:val="fr-BE"/>
              </w:rPr>
              <w:t>[</w:t>
            </w:r>
            <w:proofErr w:type="spellStart"/>
            <w:r w:rsidRPr="000C09F3">
              <w:rPr>
                <w:lang w:val="fr-BE"/>
              </w:rPr>
              <w:t>Current</w:t>
            </w:r>
            <w:proofErr w:type="spellEnd"/>
            <w:r w:rsidRPr="000C09F3">
              <w:rPr>
                <w:lang w:val="fr-BE"/>
              </w:rPr>
              <w:t xml:space="preserve"> ratio (</w:t>
            </w:r>
            <w:proofErr w:type="spellStart"/>
            <w:r w:rsidRPr="000C09F3">
              <w:rPr>
                <w:lang w:val="fr-BE"/>
              </w:rPr>
              <w:t>current</w:t>
            </w:r>
            <w:proofErr w:type="spellEnd"/>
            <w:r w:rsidRPr="000C09F3">
              <w:rPr>
                <w:lang w:val="fr-BE"/>
              </w:rPr>
              <w:t xml:space="preserve"> assets/</w:t>
            </w:r>
            <w:proofErr w:type="spellStart"/>
            <w:r w:rsidRPr="000C09F3">
              <w:rPr>
                <w:lang w:val="fr-BE"/>
              </w:rPr>
              <w:t>current</w:t>
            </w:r>
            <w:proofErr w:type="spellEnd"/>
            <w:r w:rsidRPr="000C09F3">
              <w:rPr>
                <w:lang w:val="fr-BE"/>
              </w:rPr>
              <w:t xml:space="preserve"> </w:t>
            </w:r>
            <w:proofErr w:type="spellStart"/>
            <w:r w:rsidRPr="000C09F3">
              <w:rPr>
                <w:lang w:val="fr-BE"/>
              </w:rPr>
              <w:t>liabilities</w:t>
            </w:r>
            <w:proofErr w:type="spellEnd"/>
            <w:r w:rsidRPr="000C09F3">
              <w:rPr>
                <w:lang w:val="fr-BE"/>
              </w:rPr>
              <w:t>)</w:t>
            </w:r>
          </w:p>
        </w:tc>
        <w:tc>
          <w:tcPr>
            <w:tcW w:w="992" w:type="dxa"/>
            <w:tcBorders>
              <w:top w:val="single" w:sz="6" w:space="0" w:color="auto"/>
              <w:bottom w:val="single" w:sz="6" w:space="0" w:color="auto"/>
            </w:tcBorders>
            <w:shd w:val="clear" w:color="auto" w:fill="F2F2F2" w:themeFill="background1" w:themeFillShade="F2"/>
          </w:tcPr>
          <w:p w14:paraId="604B498B" w14:textId="77777777" w:rsidR="00CF1700" w:rsidRPr="000C09F3" w:rsidRDefault="00CF1700" w:rsidP="00E72C05">
            <w:pPr>
              <w:keepNext/>
              <w:keepLines/>
              <w:widowControl w:val="0"/>
              <w:ind w:left="-84" w:right="-128"/>
            </w:pPr>
            <w:r w:rsidRPr="000C09F3">
              <w:t>Not applicable</w:t>
            </w:r>
          </w:p>
        </w:tc>
        <w:tc>
          <w:tcPr>
            <w:tcW w:w="1134" w:type="dxa"/>
            <w:tcBorders>
              <w:top w:val="single" w:sz="6" w:space="0" w:color="auto"/>
              <w:bottom w:val="single" w:sz="6" w:space="0" w:color="auto"/>
            </w:tcBorders>
            <w:shd w:val="clear" w:color="auto" w:fill="F2F2F2" w:themeFill="background1" w:themeFillShade="F2"/>
          </w:tcPr>
          <w:p w14:paraId="435147DE" w14:textId="77777777" w:rsidR="00CF1700" w:rsidRPr="000C09F3" w:rsidRDefault="00CF1700" w:rsidP="00CF1700">
            <w:pPr>
              <w:keepNext/>
              <w:keepLines/>
              <w:widowControl w:val="0"/>
            </w:pPr>
            <w:r w:rsidRPr="000C09F3">
              <w:t>Not applicable</w:t>
            </w:r>
          </w:p>
        </w:tc>
        <w:tc>
          <w:tcPr>
            <w:tcW w:w="992" w:type="dxa"/>
            <w:tcBorders>
              <w:top w:val="single" w:sz="6" w:space="0" w:color="auto"/>
              <w:bottom w:val="single" w:sz="6" w:space="0" w:color="auto"/>
            </w:tcBorders>
            <w:shd w:val="clear" w:color="auto" w:fill="F2F2F2" w:themeFill="background1" w:themeFillShade="F2"/>
          </w:tcPr>
          <w:p w14:paraId="203ED87B" w14:textId="18629389" w:rsidR="00CF1700" w:rsidRPr="000C09F3" w:rsidRDefault="00CF1700" w:rsidP="00CF1700">
            <w:pPr>
              <w:keepNext/>
              <w:keepLines/>
              <w:widowControl w:val="0"/>
              <w:ind w:right="-130"/>
            </w:pPr>
            <w:r w:rsidRPr="000C09F3">
              <w:t>Not applicable</w:t>
            </w:r>
          </w:p>
        </w:tc>
        <w:tc>
          <w:tcPr>
            <w:tcW w:w="993" w:type="dxa"/>
            <w:tcBorders>
              <w:top w:val="single" w:sz="6" w:space="0" w:color="auto"/>
              <w:bottom w:val="single" w:sz="6" w:space="0" w:color="auto"/>
            </w:tcBorders>
            <w:shd w:val="clear" w:color="auto" w:fill="F2F2F2" w:themeFill="background1" w:themeFillShade="F2"/>
            <w:vAlign w:val="center"/>
          </w:tcPr>
          <w:p w14:paraId="2603AF71" w14:textId="77777777" w:rsidR="00CF1700" w:rsidRPr="000C09F3" w:rsidRDefault="00CF1700" w:rsidP="00E72C05">
            <w:pPr>
              <w:keepNext/>
              <w:keepLines/>
              <w:widowControl w:val="0"/>
              <w:ind w:left="-86" w:right="-126"/>
            </w:pPr>
            <w:r w:rsidRPr="000C09F3">
              <w:t>Not applicable</w:t>
            </w:r>
          </w:p>
        </w:tc>
        <w:tc>
          <w:tcPr>
            <w:tcW w:w="993" w:type="dxa"/>
            <w:tcBorders>
              <w:top w:val="single" w:sz="6" w:space="0" w:color="auto"/>
              <w:bottom w:val="single" w:sz="6" w:space="0" w:color="auto"/>
            </w:tcBorders>
            <w:shd w:val="clear" w:color="auto" w:fill="F2F2F2" w:themeFill="background1" w:themeFillShade="F2"/>
            <w:vAlign w:val="center"/>
          </w:tcPr>
          <w:p w14:paraId="766E43D6" w14:textId="77777777" w:rsidR="00CF1700" w:rsidRPr="000C09F3" w:rsidRDefault="00CF1700" w:rsidP="00E72C05">
            <w:pPr>
              <w:keepNext/>
              <w:keepLines/>
              <w:widowControl w:val="0"/>
              <w:ind w:left="-90" w:right="-123"/>
            </w:pPr>
            <w:r w:rsidRPr="000C09F3">
              <w:t>Not applicable</w:t>
            </w:r>
          </w:p>
        </w:tc>
        <w:tc>
          <w:tcPr>
            <w:tcW w:w="993" w:type="dxa"/>
            <w:tcBorders>
              <w:top w:val="single" w:sz="6" w:space="0" w:color="auto"/>
              <w:bottom w:val="single" w:sz="6" w:space="0" w:color="auto"/>
            </w:tcBorders>
            <w:shd w:val="clear" w:color="auto" w:fill="F2F2F2" w:themeFill="background1" w:themeFillShade="F2"/>
          </w:tcPr>
          <w:p w14:paraId="7F2D5503" w14:textId="77777777" w:rsidR="00CF1700" w:rsidRPr="000C09F3" w:rsidRDefault="00CF1700" w:rsidP="00CF1700">
            <w:pPr>
              <w:keepNext/>
              <w:keepLines/>
              <w:widowControl w:val="0"/>
              <w:ind w:right="-131"/>
            </w:pPr>
            <w:r w:rsidRPr="000C09F3">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footerReference w:type="even" r:id="rId8"/>
          <w:footerReference w:type="default" r:id="rId9"/>
          <w:footerReference w:type="first" r:id="rId10"/>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7"/>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8"/>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9"/>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0"/>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1"/>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E72C05">
        <w:rPr>
          <w:sz w:val="22"/>
          <w:szCs w:val="22"/>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2"/>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3"/>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14:paraId="0380A0FC" w14:textId="1571579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5CD81681"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r w:rsidR="00BB4D9C" w:rsidRPr="003359FB">
        <w:rPr>
          <w:sz w:val="22"/>
          <w:szCs w:val="22"/>
        </w:rPr>
        <w:t>KSCR/PROC/2023-2025/0968</w:t>
      </w:r>
      <w:r w:rsidRPr="006A5F84">
        <w:rPr>
          <w:sz w:val="22"/>
          <w:szCs w:val="22"/>
        </w:rPr>
        <w:t xml:space="preserve"> of &lt;</w:t>
      </w:r>
      <w:r w:rsidRPr="002D59A9">
        <w:rPr>
          <w:sz w:val="22"/>
          <w:szCs w:val="22"/>
          <w:highlight w:val="yellow"/>
        </w:rPr>
        <w:t>date</w:t>
      </w:r>
      <w:r w:rsidRPr="006A5F84">
        <w:rPr>
          <w:sz w:val="22"/>
          <w:szCs w:val="22"/>
        </w:rPr>
        <w:t>&gt;. We hereby accept its provisions in their entirety, without reservation or restriction.</w:t>
      </w:r>
    </w:p>
    <w:p w14:paraId="5DF86039" w14:textId="11E66EFF" w:rsidR="00657CEF" w:rsidRPr="004F0604" w:rsidRDefault="0047783A" w:rsidP="00E72C05">
      <w:pPr>
        <w:ind w:left="709" w:hanging="709"/>
        <w:jc w:val="both"/>
        <w:rPr>
          <w:sz w:val="22"/>
          <w:szCs w:val="22"/>
          <w:highlight w:val="lightGray"/>
        </w:rPr>
      </w:pPr>
      <w:r w:rsidRPr="006A5F84">
        <w:rPr>
          <w:b/>
          <w:sz w:val="22"/>
          <w:szCs w:val="22"/>
        </w:rPr>
        <w:t>2</w:t>
      </w:r>
      <w:r w:rsidRPr="006A5F84">
        <w:rPr>
          <w:b/>
          <w:sz w:val="22"/>
          <w:szCs w:val="22"/>
        </w:rPr>
        <w:tab/>
      </w:r>
      <w:r w:rsidR="00657CEF" w:rsidRPr="00E72C05">
        <w:rPr>
          <w:sz w:val="22"/>
          <w:szCs w:val="22"/>
        </w:rPr>
        <w:t>We offer to deliver, in accordance with the terms of the tender dossier and the conditions and time limits laid down, without reserve or restriction:</w:t>
      </w:r>
    </w:p>
    <w:p w14:paraId="1C90619F" w14:textId="165E4D16" w:rsidR="00657CEF" w:rsidRPr="008431A6" w:rsidRDefault="00657CEF" w:rsidP="00657CEF">
      <w:pPr>
        <w:ind w:left="709"/>
        <w:jc w:val="both"/>
        <w:rPr>
          <w:sz w:val="22"/>
          <w:szCs w:val="22"/>
        </w:rPr>
      </w:pP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2E7CA867" w:rsidR="0047783A" w:rsidRPr="006A5F84" w:rsidRDefault="008431A6" w:rsidP="0047783A">
      <w:pPr>
        <w:ind w:left="709"/>
        <w:jc w:val="both"/>
        <w:rPr>
          <w:sz w:val="22"/>
          <w:szCs w:val="22"/>
        </w:rPr>
      </w:pPr>
      <w:r>
        <w:rPr>
          <w:sz w:val="22"/>
          <w:szCs w:val="22"/>
        </w:rPr>
        <w:t>&lt;</w:t>
      </w:r>
      <w:r w:rsidRPr="002D59A9">
        <w:rPr>
          <w:sz w:val="22"/>
          <w:szCs w:val="22"/>
          <w:highlight w:val="yellow"/>
        </w:rPr>
        <w:t>insert price</w:t>
      </w:r>
      <w:r>
        <w:rPr>
          <w:sz w:val="22"/>
          <w:szCs w:val="22"/>
        </w:rPr>
        <w:t>&gt;</w:t>
      </w:r>
    </w:p>
    <w:p w14:paraId="2CAF228F" w14:textId="7CC1AFE9" w:rsidR="0047783A" w:rsidRPr="006A5F84" w:rsidRDefault="0047783A" w:rsidP="0047783A">
      <w:pPr>
        <w:ind w:left="709"/>
        <w:jc w:val="both"/>
        <w:rPr>
          <w:sz w:val="22"/>
          <w:szCs w:val="22"/>
        </w:rPr>
      </w:pPr>
    </w:p>
    <w:p w14:paraId="55CD8624" w14:textId="1809C3AA"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proofErr w:type="gramStart"/>
      <w:r w:rsidRPr="002D59A9">
        <w:rPr>
          <w:sz w:val="22"/>
          <w:szCs w:val="22"/>
          <w:highlight w:val="yellow"/>
        </w:rPr>
        <w:t>…..</w:t>
      </w:r>
      <w:proofErr w:type="gramEnd"/>
      <w:r w:rsidR="008431A6">
        <w:rPr>
          <w:sz w:val="22"/>
          <w:szCs w:val="22"/>
        </w:rPr>
        <w:t>&gt;</w:t>
      </w:r>
      <w:r w:rsidRPr="006A5F84">
        <w:rPr>
          <w:sz w:val="22"/>
          <w:szCs w:val="22"/>
        </w:rPr>
        <w:t xml:space="preserve">] </w:t>
      </w:r>
      <w:r w:rsidRPr="00E72C05">
        <w:rPr>
          <w:sz w:val="22"/>
          <w:szCs w:val="22"/>
        </w:rPr>
        <w:t>in the event of</w:t>
      </w:r>
      <w:r w:rsidR="00BB4D9C">
        <w:rPr>
          <w:sz w:val="22"/>
          <w:szCs w:val="22"/>
        </w:rPr>
        <w:t xml:space="preserve"> contract award.</w:t>
      </w:r>
      <w:r w:rsidRPr="00E72C05">
        <w:rPr>
          <w:sz w:val="22"/>
          <w:szCs w:val="22"/>
        </w:rPr>
        <w:t xml:space="preserve">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w:t>
      </w:r>
      <w:proofErr w:type="gramStart"/>
      <w:r>
        <w:rPr>
          <w:color w:val="000000"/>
          <w:sz w:val="22"/>
          <w:szCs w:val="22"/>
        </w:rPr>
        <w:t>subcontractors  are</w:t>
      </w:r>
      <w:proofErr w:type="gramEnd"/>
      <w:r>
        <w:rPr>
          <w:color w:val="000000"/>
          <w:sz w:val="22"/>
          <w:szCs w:val="22"/>
        </w:rPr>
        <w:t xml:space="preserv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lastRenderedPageBreak/>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w:t>
      </w:r>
      <w:proofErr w:type="gramStart"/>
      <w:r w:rsidR="00FF346A" w:rsidRPr="00FF346A">
        <w:rPr>
          <w:sz w:val="22"/>
          <w:szCs w:val="22"/>
        </w:rPr>
        <w:t>if  the</w:t>
      </w:r>
      <w:proofErr w:type="gramEnd"/>
      <w:r w:rsidR="00FF346A" w:rsidRPr="00FF346A">
        <w:rPr>
          <w:sz w:val="22"/>
          <w:szCs w:val="22"/>
        </w:rPr>
        <w:t xml:space="preserv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230A73">
      <w:pPr>
        <w:keepNext/>
        <w:keepLines/>
        <w:pageBreakBefore/>
        <w:widowControl w:val="0"/>
        <w:ind w:left="142"/>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14:paraId="3BC64349" w14:textId="77777777" w:rsidR="0047783A" w:rsidRPr="006A5F84" w:rsidRDefault="0047783A" w:rsidP="00E72C05">
      <w:pPr>
        <w:keepNext/>
        <w:keepLines/>
        <w:widowControl w:val="0"/>
        <w:ind w:left="142"/>
        <w:jc w:val="both"/>
        <w:rPr>
          <w:sz w:val="22"/>
          <w:szCs w:val="22"/>
        </w:rPr>
      </w:pPr>
      <w:r w:rsidRPr="002D59A9">
        <w:rPr>
          <w:sz w:val="22"/>
          <w:szCs w:val="22"/>
          <w:highlight w:val="lightGray"/>
        </w:rPr>
        <w:t xml:space="preserve">The following table contains our financial data as included in the consortium’s tender form. These data are based on our annual </w:t>
      </w:r>
      <w:r w:rsidR="00EF3666">
        <w:rPr>
          <w:sz w:val="22"/>
          <w:szCs w:val="22"/>
          <w:highlight w:val="lightGray"/>
        </w:rPr>
        <w:t>clos</w:t>
      </w:r>
      <w:r w:rsidRPr="002D59A9">
        <w:rPr>
          <w:sz w:val="22"/>
          <w:szCs w:val="22"/>
          <w:highlight w:val="lightGray"/>
        </w:rPr>
        <w:t>ed accounts and our latest projections. Estimated figures (i</w:t>
      </w:r>
      <w:r w:rsidR="00BA70CB" w:rsidRPr="002D59A9">
        <w:rPr>
          <w:sz w:val="22"/>
          <w:szCs w:val="22"/>
          <w:highlight w:val="lightGray"/>
        </w:rPr>
        <w:t>.</w:t>
      </w:r>
      <w:r w:rsidRPr="002D59A9">
        <w:rPr>
          <w:sz w:val="22"/>
          <w:szCs w:val="22"/>
          <w:highlight w:val="lightGray"/>
        </w:rPr>
        <w:t>e</w:t>
      </w:r>
      <w:r w:rsidR="00BA70CB" w:rsidRPr="002D59A9">
        <w:rPr>
          <w:sz w:val="22"/>
          <w:szCs w:val="22"/>
          <w:highlight w:val="lightGray"/>
        </w:rPr>
        <w:t>.</w:t>
      </w:r>
      <w:r w:rsidRPr="002D59A9">
        <w:rPr>
          <w:sz w:val="22"/>
          <w:szCs w:val="22"/>
          <w:highlight w:val="lightGray"/>
        </w:rPr>
        <w:t xml:space="preserve"> those not included in annual </w:t>
      </w:r>
      <w:r w:rsidR="00EF3666">
        <w:rPr>
          <w:sz w:val="22"/>
          <w:szCs w:val="22"/>
          <w:highlight w:val="lightGray"/>
        </w:rPr>
        <w:t>clos</w:t>
      </w:r>
      <w:r w:rsidRPr="002D59A9">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2D59A9">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230A73">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000158B3" w14:textId="77777777" w:rsidR="00B95E2A" w:rsidRDefault="00B95E2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E72C05">
            <w:pPr>
              <w:keepNext/>
              <w:keepLines/>
              <w:widowControl w:val="0"/>
              <w:ind w:left="-77"/>
              <w:jc w:val="center"/>
              <w:rPr>
                <w:b/>
                <w:sz w:val="22"/>
                <w:szCs w:val="22"/>
              </w:rPr>
            </w:pPr>
            <w:r w:rsidRPr="006A5F84">
              <w:rPr>
                <w:b/>
                <w:sz w:val="22"/>
                <w:szCs w:val="22"/>
              </w:rPr>
              <w:t>Last year</w:t>
            </w:r>
          </w:p>
          <w:p w14:paraId="659CB301" w14:textId="77777777" w:rsidR="00B95E2A" w:rsidRPr="006A5F84" w:rsidRDefault="00B95E2A" w:rsidP="00E72C05">
            <w:pPr>
              <w:keepNext/>
              <w:keepLines/>
              <w:widowControl w:val="0"/>
              <w:ind w:left="-77"/>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E72C05">
            <w:pPr>
              <w:keepNext/>
              <w:keepLines/>
              <w:widowControl w:val="0"/>
              <w:ind w:left="-77"/>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230A73">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230A73">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D64597" w:rsidRDefault="00B95E2A" w:rsidP="00E72C05">
            <w:pPr>
              <w:widowControl w:val="0"/>
              <w:spacing w:before="60" w:after="60"/>
              <w:ind w:left="-79" w:right="-127"/>
              <w:jc w:val="center"/>
              <w:rPr>
                <w:b/>
                <w:sz w:val="22"/>
                <w:szCs w:val="22"/>
                <w:highlight w:val="lightGray"/>
              </w:rPr>
            </w:pPr>
            <w:r w:rsidRPr="00A43FB0">
              <w:rPr>
                <w:b/>
                <w:highlight w:val="lightGray"/>
              </w:rPr>
              <w:t xml:space="preserve">Past </w:t>
            </w:r>
            <w:r w:rsidRPr="00D64597">
              <w:rPr>
                <w:b/>
                <w:sz w:val="22"/>
                <w:szCs w:val="22"/>
                <w:highlight w:val="lightGray"/>
              </w:rPr>
              <w:t>year</w:t>
            </w:r>
            <w:r w:rsidRPr="00D64597">
              <w:rPr>
                <w:b/>
                <w:sz w:val="22"/>
                <w:szCs w:val="22"/>
                <w:highlight w:val="lightGray"/>
              </w:rPr>
              <w:br/>
            </w:r>
          </w:p>
          <w:p w14:paraId="05887EDB" w14:textId="77777777" w:rsidR="00B95E2A" w:rsidRPr="006A5F84" w:rsidRDefault="00B95E2A" w:rsidP="00E72C05">
            <w:pPr>
              <w:keepNext/>
              <w:keepLines/>
              <w:widowControl w:val="0"/>
              <w:ind w:left="-79" w:right="-127"/>
              <w:jc w:val="center"/>
              <w:rPr>
                <w:b/>
                <w:sz w:val="22"/>
                <w:szCs w:val="22"/>
              </w:rPr>
            </w:pPr>
            <w:r w:rsidRPr="00D64597">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914FFB" w:rsidRDefault="00B95E2A" w:rsidP="00E72C05">
            <w:pPr>
              <w:widowControl w:val="0"/>
              <w:spacing w:before="60" w:after="60"/>
              <w:ind w:left="-79" w:right="-126"/>
              <w:jc w:val="center"/>
              <w:rPr>
                <w:b/>
                <w:highlight w:val="lightGray"/>
              </w:rPr>
            </w:pPr>
            <w:r w:rsidRPr="00B34C65">
              <w:rPr>
                <w:b/>
                <w:sz w:val="22"/>
                <w:szCs w:val="22"/>
                <w:highlight w:val="lightGray"/>
              </w:rPr>
              <w:t>[</w:t>
            </w:r>
            <w:r w:rsidRPr="00B95E2A">
              <w:rPr>
                <w:b/>
                <w:sz w:val="22"/>
                <w:szCs w:val="22"/>
                <w:highlight w:val="lightGray"/>
              </w:rPr>
              <w:t xml:space="preserve">Current </w:t>
            </w:r>
            <w:r w:rsidRPr="00B95E2A">
              <w:rPr>
                <w:b/>
                <w:highlight w:val="lightGray"/>
              </w:rPr>
              <w:t>year</w:t>
            </w:r>
          </w:p>
          <w:p w14:paraId="5C21A2F5" w14:textId="77777777" w:rsidR="00B95E2A" w:rsidRPr="00A43FB0" w:rsidRDefault="00B95E2A" w:rsidP="00E72C05">
            <w:pPr>
              <w:widowControl w:val="0"/>
              <w:spacing w:before="60" w:after="60"/>
              <w:ind w:left="-79" w:right="-126"/>
              <w:jc w:val="center"/>
              <w:rPr>
                <w:b/>
                <w:highlight w:val="lightGray"/>
              </w:rPr>
            </w:pPr>
            <w:r w:rsidRPr="00D64597">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230A73">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230A73">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230A73">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E72C05">
            <w:pPr>
              <w:keepNext/>
              <w:keepLines/>
              <w:widowControl w:val="0"/>
              <w:ind w:left="-77"/>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230A73">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E72C05">
            <w:pPr>
              <w:keepNext/>
              <w:keepLines/>
              <w:widowControl w:val="0"/>
              <w:ind w:left="-79" w:right="-127"/>
              <w:rPr>
                <w:sz w:val="22"/>
                <w:szCs w:val="22"/>
              </w:rPr>
            </w:pPr>
          </w:p>
        </w:tc>
        <w:tc>
          <w:tcPr>
            <w:tcW w:w="992" w:type="dxa"/>
            <w:tcBorders>
              <w:top w:val="single" w:sz="6" w:space="0" w:color="auto"/>
              <w:bottom w:val="double" w:sz="2" w:space="0" w:color="auto"/>
            </w:tcBorders>
          </w:tcPr>
          <w:p w14:paraId="2E6B71BE" w14:textId="07DA9506" w:rsidR="00B95E2A" w:rsidRPr="006A5F84" w:rsidRDefault="00F27D48" w:rsidP="00E72C05">
            <w:pPr>
              <w:keepNext/>
              <w:keepLines/>
              <w:widowControl w:val="0"/>
              <w:ind w:left="-79" w:right="-126"/>
              <w:rPr>
                <w:sz w:val="22"/>
                <w:szCs w:val="22"/>
              </w:rPr>
            </w:pPr>
            <w:r w:rsidRPr="00AF2815">
              <w:rPr>
                <w:sz w:val="22"/>
                <w:szCs w:val="22"/>
                <w:highlight w:val="lightGray"/>
              </w:rPr>
              <w:t>Not applicable</w:t>
            </w:r>
          </w:p>
        </w:tc>
      </w:tr>
      <w:tr w:rsidR="00F27D48" w:rsidRPr="006A5F84" w14:paraId="4802EEA2" w14:textId="77777777" w:rsidTr="00E72C05">
        <w:trPr>
          <w:cantSplit/>
        </w:trPr>
        <w:tc>
          <w:tcPr>
            <w:tcW w:w="3261" w:type="dxa"/>
            <w:tcBorders>
              <w:top w:val="nil"/>
            </w:tcBorders>
          </w:tcPr>
          <w:p w14:paraId="2F986DC9" w14:textId="77777777" w:rsidR="00F27D48" w:rsidRPr="006A5F84" w:rsidRDefault="00F27D48" w:rsidP="00F27D48">
            <w:pPr>
              <w:keepNext/>
              <w:keepLines/>
              <w:widowControl w:val="0"/>
              <w:rPr>
                <w:sz w:val="22"/>
                <w:szCs w:val="22"/>
              </w:rPr>
            </w:pPr>
            <w:r>
              <w:rPr>
                <w:sz w:val="22"/>
                <w:szCs w:val="22"/>
              </w:rPr>
              <w:t>Current assets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5383F5AE" w:rsidR="00F27D48" w:rsidRPr="006A5F84" w:rsidRDefault="00F27D48" w:rsidP="00F27D48">
            <w:pPr>
              <w:keepNext/>
              <w:keepLines/>
              <w:widowControl w:val="0"/>
              <w:rPr>
                <w:sz w:val="22"/>
                <w:szCs w:val="22"/>
              </w:rPr>
            </w:pPr>
            <w:r w:rsidRPr="00AF2815">
              <w:rPr>
                <w:sz w:val="22"/>
                <w:szCs w:val="22"/>
                <w:highlight w:val="lightGray"/>
              </w:rPr>
              <w:t>Not applicable</w:t>
            </w:r>
          </w:p>
        </w:tc>
        <w:tc>
          <w:tcPr>
            <w:tcW w:w="1276" w:type="dxa"/>
            <w:tcBorders>
              <w:top w:val="nil"/>
            </w:tcBorders>
          </w:tcPr>
          <w:p w14:paraId="13000AC6" w14:textId="08750728" w:rsidR="00F27D48" w:rsidRPr="006A5F84" w:rsidRDefault="00F27D48" w:rsidP="00F27D48">
            <w:pPr>
              <w:keepNext/>
              <w:keepLines/>
              <w:widowControl w:val="0"/>
              <w:rPr>
                <w:sz w:val="22"/>
                <w:szCs w:val="22"/>
              </w:rPr>
            </w:pPr>
            <w:r w:rsidRPr="00AF2815">
              <w:rPr>
                <w:sz w:val="22"/>
                <w:szCs w:val="22"/>
                <w:highlight w:val="lightGray"/>
              </w:rPr>
              <w:t>Not applicable</w:t>
            </w:r>
          </w:p>
        </w:tc>
        <w:tc>
          <w:tcPr>
            <w:tcW w:w="1134" w:type="dxa"/>
            <w:tcBorders>
              <w:top w:val="nil"/>
              <w:bottom w:val="single" w:sz="6" w:space="0" w:color="auto"/>
            </w:tcBorders>
          </w:tcPr>
          <w:p w14:paraId="03A9F7AB" w14:textId="0CA02F13" w:rsidR="00F27D48" w:rsidRPr="006A5F84" w:rsidRDefault="00F27D48" w:rsidP="00E72C05">
            <w:pPr>
              <w:keepNext/>
              <w:keepLines/>
              <w:widowControl w:val="0"/>
              <w:ind w:left="-77"/>
              <w:rPr>
                <w:sz w:val="22"/>
                <w:szCs w:val="22"/>
              </w:rPr>
            </w:pPr>
            <w:r w:rsidRPr="00AF2815">
              <w:rPr>
                <w:sz w:val="22"/>
                <w:szCs w:val="22"/>
                <w:highlight w:val="lightGray"/>
              </w:rPr>
              <w:t>Not applicable</w:t>
            </w:r>
          </w:p>
        </w:tc>
        <w:tc>
          <w:tcPr>
            <w:tcW w:w="1134" w:type="dxa"/>
            <w:tcBorders>
              <w:top w:val="nil"/>
              <w:bottom w:val="single" w:sz="6" w:space="0" w:color="auto"/>
            </w:tcBorders>
            <w:vAlign w:val="center"/>
          </w:tcPr>
          <w:p w14:paraId="2A8F1544" w14:textId="783A9F73" w:rsidR="00F27D48" w:rsidRPr="006A5F84" w:rsidRDefault="00F27D48" w:rsidP="00F27D48">
            <w:pPr>
              <w:keepNext/>
              <w:keepLines/>
              <w:widowControl w:val="0"/>
              <w:rPr>
                <w:sz w:val="22"/>
                <w:szCs w:val="22"/>
              </w:rPr>
            </w:pPr>
            <w:r w:rsidRPr="00AF2815">
              <w:rPr>
                <w:sz w:val="22"/>
                <w:szCs w:val="22"/>
                <w:highlight w:val="lightGray"/>
              </w:rPr>
              <w:t>Not applicable</w:t>
            </w:r>
          </w:p>
        </w:tc>
        <w:tc>
          <w:tcPr>
            <w:tcW w:w="992" w:type="dxa"/>
            <w:tcBorders>
              <w:top w:val="nil"/>
              <w:bottom w:val="single" w:sz="6" w:space="0" w:color="auto"/>
            </w:tcBorders>
          </w:tcPr>
          <w:p w14:paraId="4E2FA9BE" w14:textId="7C03FDC7" w:rsidR="00F27D48" w:rsidRPr="006A5F84" w:rsidRDefault="00F27D48" w:rsidP="00E72C05">
            <w:pPr>
              <w:keepNext/>
              <w:keepLines/>
              <w:widowControl w:val="0"/>
              <w:ind w:left="-79" w:right="-127"/>
              <w:rPr>
                <w:sz w:val="22"/>
                <w:szCs w:val="22"/>
              </w:rPr>
            </w:pPr>
            <w:r w:rsidRPr="00AF2815">
              <w:rPr>
                <w:sz w:val="22"/>
                <w:szCs w:val="22"/>
                <w:highlight w:val="lightGray"/>
              </w:rPr>
              <w:t>Not applicable</w:t>
            </w:r>
          </w:p>
        </w:tc>
        <w:tc>
          <w:tcPr>
            <w:tcW w:w="992" w:type="dxa"/>
            <w:tcBorders>
              <w:top w:val="nil"/>
              <w:bottom w:val="single" w:sz="6" w:space="0" w:color="auto"/>
            </w:tcBorders>
          </w:tcPr>
          <w:p w14:paraId="158FC846" w14:textId="402BB700" w:rsidR="00F27D48" w:rsidRPr="006A5F84" w:rsidRDefault="00F27D48" w:rsidP="00E72C05">
            <w:pPr>
              <w:keepNext/>
              <w:keepLines/>
              <w:widowControl w:val="0"/>
              <w:ind w:left="-79" w:right="-126"/>
              <w:rPr>
                <w:sz w:val="22"/>
                <w:szCs w:val="22"/>
              </w:rPr>
            </w:pPr>
            <w:r w:rsidRPr="00AF2815">
              <w:rPr>
                <w:sz w:val="22"/>
                <w:szCs w:val="22"/>
                <w:highlight w:val="lightGray"/>
              </w:rPr>
              <w:t>Not applicable</w:t>
            </w:r>
          </w:p>
        </w:tc>
      </w:tr>
      <w:tr w:rsidR="00F27D48" w:rsidRPr="006A5F84" w14:paraId="38C01F93" w14:textId="77777777" w:rsidTr="00E72C05">
        <w:trPr>
          <w:cantSplit/>
        </w:trPr>
        <w:tc>
          <w:tcPr>
            <w:tcW w:w="3261" w:type="dxa"/>
          </w:tcPr>
          <w:p w14:paraId="3389A873" w14:textId="77777777" w:rsidR="00F27D48" w:rsidRPr="006A5F84" w:rsidRDefault="00F27D48" w:rsidP="00F27D48">
            <w:pPr>
              <w:keepNext/>
              <w:keepLines/>
              <w:widowControl w:val="0"/>
              <w:rPr>
                <w:sz w:val="22"/>
                <w:szCs w:val="22"/>
              </w:rPr>
            </w:pPr>
            <w:r>
              <w:rPr>
                <w:sz w:val="22"/>
                <w:szCs w:val="22"/>
              </w:rPr>
              <w:t>Current liabilities</w:t>
            </w:r>
            <w:r w:rsidRPr="006A5F84">
              <w:rPr>
                <w:sz w:val="22"/>
                <w:szCs w:val="22"/>
                <w:vertAlign w:val="superscript"/>
              </w:rPr>
              <w:t>9</w:t>
            </w:r>
            <w:r w:rsidRPr="006A5F84">
              <w:rPr>
                <w:sz w:val="22"/>
                <w:szCs w:val="22"/>
              </w:rPr>
              <w:t xml:space="preserve"> </w:t>
            </w:r>
          </w:p>
        </w:tc>
        <w:tc>
          <w:tcPr>
            <w:tcW w:w="1417" w:type="dxa"/>
          </w:tcPr>
          <w:p w14:paraId="43101753" w14:textId="591060D2" w:rsidR="00F27D48" w:rsidRPr="006A5F84" w:rsidRDefault="00F27D48" w:rsidP="00F27D48">
            <w:pPr>
              <w:keepNext/>
              <w:keepLines/>
              <w:widowControl w:val="0"/>
              <w:rPr>
                <w:sz w:val="22"/>
                <w:szCs w:val="22"/>
              </w:rPr>
            </w:pPr>
            <w:r w:rsidRPr="00AF2815">
              <w:rPr>
                <w:sz w:val="22"/>
                <w:szCs w:val="22"/>
                <w:highlight w:val="lightGray"/>
              </w:rPr>
              <w:t>Not applicable</w:t>
            </w:r>
          </w:p>
        </w:tc>
        <w:tc>
          <w:tcPr>
            <w:tcW w:w="1276" w:type="dxa"/>
          </w:tcPr>
          <w:p w14:paraId="5B5B92EF" w14:textId="645F2BFB" w:rsidR="00F27D48" w:rsidRPr="006A5F84" w:rsidRDefault="00F27D48" w:rsidP="00F27D48">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320B51C" w14:textId="32273844" w:rsidR="00F27D48" w:rsidRPr="006A5F84" w:rsidRDefault="00F27D48" w:rsidP="00E72C05">
            <w:pPr>
              <w:keepNext/>
              <w:keepLines/>
              <w:widowControl w:val="0"/>
              <w:ind w:left="-77"/>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78D0EEA7" w14:textId="25A65AC0" w:rsidR="00F27D48" w:rsidRPr="006A5F84" w:rsidRDefault="00F27D48" w:rsidP="00F27D48">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14:paraId="026063B3" w14:textId="2C528662" w:rsidR="00F27D48" w:rsidRPr="006A5F84" w:rsidRDefault="00F27D48" w:rsidP="00E72C05">
            <w:pPr>
              <w:keepNext/>
              <w:keepLines/>
              <w:widowControl w:val="0"/>
              <w:ind w:left="-79" w:right="-127"/>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46DD7436" w14:textId="74FA2B4D" w:rsidR="00F27D48" w:rsidRPr="006A5F84" w:rsidRDefault="00F27D48" w:rsidP="00E72C05">
            <w:pPr>
              <w:keepNext/>
              <w:keepLines/>
              <w:widowControl w:val="0"/>
              <w:ind w:left="-79" w:right="-126"/>
              <w:rPr>
                <w:sz w:val="22"/>
                <w:szCs w:val="22"/>
              </w:rPr>
            </w:pPr>
            <w:r w:rsidRPr="00AF2815">
              <w:rPr>
                <w:sz w:val="22"/>
                <w:szCs w:val="22"/>
                <w:highlight w:val="lightGray"/>
              </w:rPr>
              <w:t>Not applicable</w:t>
            </w:r>
          </w:p>
        </w:tc>
      </w:tr>
      <w:tr w:rsidR="00267F66" w:rsidRPr="006A5F84" w14:paraId="2E69891B" w14:textId="77777777" w:rsidTr="00D64597">
        <w:trPr>
          <w:cantSplit/>
        </w:trPr>
        <w:tc>
          <w:tcPr>
            <w:tcW w:w="3261" w:type="dxa"/>
          </w:tcPr>
          <w:p w14:paraId="3D8820B8" w14:textId="77777777" w:rsidR="00267F66" w:rsidRPr="00CF5D66" w:rsidRDefault="00267F66" w:rsidP="00230A73">
            <w:pPr>
              <w:keepNext/>
              <w:keepLines/>
              <w:widowControl w:val="0"/>
              <w:rPr>
                <w:sz w:val="22"/>
                <w:szCs w:val="22"/>
                <w:lang w:val="fr-BE"/>
              </w:rPr>
            </w:pPr>
            <w:r w:rsidRPr="00CF5D66">
              <w:rPr>
                <w:sz w:val="22"/>
                <w:szCs w:val="22"/>
                <w:highlight w:val="lightGray"/>
                <w:lang w:val="fr-BE"/>
              </w:rPr>
              <w:t>[</w:t>
            </w:r>
            <w:proofErr w:type="spellStart"/>
            <w:r w:rsidRPr="00CF5D66">
              <w:rPr>
                <w:sz w:val="22"/>
                <w:szCs w:val="22"/>
                <w:highlight w:val="lightGray"/>
                <w:lang w:val="fr-BE"/>
              </w:rPr>
              <w:t>Current</w:t>
            </w:r>
            <w:proofErr w:type="spellEnd"/>
            <w:r w:rsidRPr="00CF5D66">
              <w:rPr>
                <w:sz w:val="22"/>
                <w:szCs w:val="22"/>
                <w:highlight w:val="lightGray"/>
                <w:lang w:val="fr-BE"/>
              </w:rPr>
              <w:t xml:space="preserve"> ratio (</w:t>
            </w:r>
            <w:proofErr w:type="spellStart"/>
            <w:r w:rsidRPr="00CF5D66">
              <w:rPr>
                <w:sz w:val="22"/>
                <w:szCs w:val="22"/>
                <w:highlight w:val="lightGray"/>
                <w:lang w:val="fr-BE"/>
              </w:rPr>
              <w:t>current</w:t>
            </w:r>
            <w:proofErr w:type="spellEnd"/>
            <w:r w:rsidRPr="00CF5D66">
              <w:rPr>
                <w:sz w:val="22"/>
                <w:szCs w:val="22"/>
                <w:highlight w:val="lightGray"/>
                <w:lang w:val="fr-BE"/>
              </w:rPr>
              <w:t xml:space="preserve"> assets/</w:t>
            </w:r>
            <w:proofErr w:type="spellStart"/>
            <w:r w:rsidRPr="00CF5D66">
              <w:rPr>
                <w:sz w:val="22"/>
                <w:szCs w:val="22"/>
                <w:highlight w:val="lightGray"/>
                <w:lang w:val="fr-BE"/>
              </w:rPr>
              <w:t>current</w:t>
            </w:r>
            <w:proofErr w:type="spellEnd"/>
            <w:r w:rsidRPr="00CF5D66">
              <w:rPr>
                <w:sz w:val="22"/>
                <w:szCs w:val="22"/>
                <w:highlight w:val="lightGray"/>
                <w:lang w:val="fr-BE"/>
              </w:rPr>
              <w:t xml:space="preserve"> </w:t>
            </w:r>
            <w:proofErr w:type="spellStart"/>
            <w:r w:rsidRPr="00CF5D66">
              <w:rPr>
                <w:sz w:val="22"/>
                <w:szCs w:val="22"/>
                <w:highlight w:val="lightGray"/>
                <w:lang w:val="fr-BE"/>
              </w:rPr>
              <w:t>liabilities</w:t>
            </w:r>
            <w:proofErr w:type="spellEnd"/>
            <w:r w:rsidRPr="00CF5D66">
              <w:rPr>
                <w:sz w:val="22"/>
                <w:szCs w:val="22"/>
                <w:highlight w:val="lightGray"/>
                <w:lang w:val="fr-BE"/>
              </w:rPr>
              <w:t>)</w:t>
            </w:r>
          </w:p>
        </w:tc>
        <w:tc>
          <w:tcPr>
            <w:tcW w:w="1417" w:type="dxa"/>
            <w:tcBorders>
              <w:bottom w:val="single" w:sz="6" w:space="0" w:color="auto"/>
            </w:tcBorders>
          </w:tcPr>
          <w:p w14:paraId="2A5C1646" w14:textId="77777777" w:rsidR="00267F66" w:rsidRPr="006A5F84" w:rsidRDefault="00267F66" w:rsidP="00230A73">
            <w:pPr>
              <w:keepNext/>
              <w:keepLines/>
              <w:widowControl w:val="0"/>
              <w:rPr>
                <w:sz w:val="22"/>
                <w:szCs w:val="22"/>
              </w:rPr>
            </w:pPr>
            <w:r w:rsidRPr="00AF2815">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230A73">
            <w:pPr>
              <w:keepNext/>
              <w:keepLines/>
              <w:widowControl w:val="0"/>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31BF4A53" w:rsidR="00267F66" w:rsidRPr="006A5F84" w:rsidRDefault="00F27D48" w:rsidP="00E72C05">
            <w:pPr>
              <w:keepNext/>
              <w:keepLines/>
              <w:widowControl w:val="0"/>
              <w:ind w:left="-77"/>
              <w:rPr>
                <w:sz w:val="22"/>
                <w:szCs w:val="22"/>
              </w:rPr>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230A73">
            <w:pPr>
              <w:keepNext/>
              <w:keepLines/>
              <w:widowControl w:val="0"/>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267F66" w:rsidRPr="006A5F84" w:rsidRDefault="00267F66" w:rsidP="00E72C05">
            <w:pPr>
              <w:keepNext/>
              <w:keepLines/>
              <w:widowControl w:val="0"/>
              <w:ind w:left="-79" w:right="-127"/>
              <w:rPr>
                <w:sz w:val="22"/>
                <w:szCs w:val="22"/>
              </w:rPr>
            </w:pPr>
            <w:r w:rsidRPr="00AF2815">
              <w:rPr>
                <w:sz w:val="22"/>
                <w:szCs w:val="22"/>
                <w:highlight w:val="lightGray"/>
              </w:rPr>
              <w:t>Not applicable</w:t>
            </w:r>
          </w:p>
        </w:tc>
        <w:tc>
          <w:tcPr>
            <w:tcW w:w="992" w:type="dxa"/>
            <w:tcBorders>
              <w:top w:val="single" w:sz="6" w:space="0" w:color="auto"/>
              <w:bottom w:val="single" w:sz="6" w:space="0" w:color="auto"/>
            </w:tcBorders>
          </w:tcPr>
          <w:p w14:paraId="6EF7AB0A" w14:textId="77777777" w:rsidR="00267F66" w:rsidRPr="006A5F84" w:rsidRDefault="00267F66" w:rsidP="00E72C05">
            <w:pPr>
              <w:keepNext/>
              <w:keepLines/>
              <w:widowControl w:val="0"/>
              <w:ind w:left="-79" w:right="-126"/>
              <w:rPr>
                <w:sz w:val="22"/>
                <w:szCs w:val="22"/>
              </w:rPr>
            </w:pPr>
            <w:r w:rsidRPr="00AF2815">
              <w:rPr>
                <w:sz w:val="22"/>
                <w:szCs w:val="22"/>
                <w:highlight w:val="lightGray"/>
              </w:rPr>
              <w:t>Not applicable]</w:t>
            </w:r>
          </w:p>
        </w:tc>
      </w:tr>
    </w:tbl>
    <w:p w14:paraId="21BDAEFF" w14:textId="77777777" w:rsidR="0047783A" w:rsidRPr="006A5F84" w:rsidRDefault="0047783A" w:rsidP="00E72C05">
      <w:pPr>
        <w:keepNext/>
        <w:widowControl w:val="0"/>
        <w:spacing w:before="240"/>
        <w:ind w:left="-142"/>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2D59A9">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E72C05">
            <w:pPr>
              <w:keepNext/>
              <w:keepLines/>
              <w:widowControl w:val="0"/>
              <w:ind w:right="-64"/>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E72C05">
            <w:pPr>
              <w:keepNext/>
              <w:keepLines/>
              <w:widowControl w:val="0"/>
              <w:ind w:left="-66"/>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E72C05">
            <w:pPr>
              <w:keepNext/>
              <w:keepLines/>
              <w:widowControl w:val="0"/>
              <w:ind w:left="-66"/>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E72C05">
            <w:pPr>
              <w:keepNext/>
              <w:keepLines/>
              <w:widowControl w:val="0"/>
              <w:ind w:left="-67"/>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E72C05">
            <w:pPr>
              <w:keepNext/>
              <w:keepLines/>
              <w:widowControl w:val="0"/>
              <w:ind w:left="-79"/>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E72C05">
            <w:pPr>
              <w:keepLines/>
              <w:widowControl w:val="0"/>
              <w:ind w:left="-66"/>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E72C05">
            <w:pPr>
              <w:keepLines/>
              <w:widowControl w:val="0"/>
              <w:ind w:left="-67"/>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E72C05">
            <w:pPr>
              <w:keepLines/>
              <w:widowControl w:val="0"/>
              <w:ind w:left="-79"/>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E72C05">
            <w:pPr>
              <w:keepLines/>
              <w:widowControl w:val="0"/>
              <w:ind w:left="-66"/>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E72C05">
            <w:pPr>
              <w:keepLines/>
              <w:widowControl w:val="0"/>
              <w:ind w:left="-67"/>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E72C05">
            <w:pPr>
              <w:keepLines/>
              <w:widowControl w:val="0"/>
              <w:ind w:left="-79"/>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E72C05">
            <w:pPr>
              <w:keepLines/>
              <w:widowControl w:val="0"/>
              <w:ind w:left="-66"/>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E72C05">
            <w:pPr>
              <w:keepLines/>
              <w:widowControl w:val="0"/>
              <w:ind w:left="-67"/>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E72C05">
            <w:pPr>
              <w:keepLines/>
              <w:widowControl w:val="0"/>
              <w:ind w:left="-79"/>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E72C05">
            <w:pPr>
              <w:keepLines/>
              <w:widowControl w:val="0"/>
              <w:ind w:left="-66"/>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E72C05">
            <w:pPr>
              <w:keepLines/>
              <w:widowControl w:val="0"/>
              <w:ind w:left="-67"/>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E72C05">
            <w:pPr>
              <w:keepLines/>
              <w:widowControl w:val="0"/>
              <w:ind w:left="-79"/>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4AC34543" w14:textId="01721D9B" w:rsidR="00347075" w:rsidRPr="00347075" w:rsidRDefault="00347075" w:rsidP="000714DC">
      <w:pPr>
        <w:spacing w:before="240"/>
        <w:jc w:val="both"/>
        <w:rPr>
          <w:sz w:val="22"/>
          <w:szCs w:val="22"/>
        </w:rPr>
      </w:pPr>
    </w:p>
    <w:sectPr w:rsidR="00347075" w:rsidRPr="00347075" w:rsidSect="00E72C05">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426"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1BD2" w14:textId="77777777" w:rsidR="001D26D8" w:rsidRPr="006A5F84" w:rsidRDefault="001D26D8">
      <w:r w:rsidRPr="006A5F84">
        <w:separator/>
      </w:r>
    </w:p>
  </w:endnote>
  <w:endnote w:type="continuationSeparator" w:id="0">
    <w:p w14:paraId="1294B96C" w14:textId="77777777" w:rsidR="001D26D8" w:rsidRPr="006A5F84" w:rsidRDefault="001D26D8">
      <w:r w:rsidRPr="006A5F84">
        <w:continuationSeparator/>
      </w:r>
    </w:p>
  </w:endnote>
  <w:endnote w:id="1">
    <w:p w14:paraId="0001F52C" w14:textId="77777777" w:rsidR="00230A73" w:rsidRDefault="00230A73" w:rsidP="00DC608A">
      <w:pPr>
        <w:spacing w:after="60"/>
      </w:pPr>
    </w:p>
    <w:p w14:paraId="6808D8C0" w14:textId="66275680" w:rsidR="00230A73" w:rsidRPr="006A5F84" w:rsidRDefault="00230A73" w:rsidP="00DC608A">
      <w:pPr>
        <w:spacing w:after="60"/>
      </w:pPr>
      <w:r w:rsidRPr="006A5F84">
        <w:rPr>
          <w:rStyle w:val="EndnoteReference"/>
        </w:rPr>
        <w:endnoteRef/>
      </w:r>
      <w:r>
        <w:t xml:space="preserve"> </w:t>
      </w:r>
      <w:r w:rsidRPr="006A5F84">
        <w:t>Natural persons have to prove their capacity in accordance with the selection criteria and by the appropriate means.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1D1D" w14:textId="607D8F6A"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A7" w14:textId="451B85EB"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EFC5" w14:textId="411910A7"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F81245">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F81245">
      <w:rPr>
        <w:noProof/>
        <w:sz w:val="18"/>
        <w:szCs w:val="18"/>
      </w:rPr>
      <w:t>12</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57D2" w14:textId="2BA1A0E5"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8</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6558" w14:textId="751E16FE"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F81245">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F81245">
      <w:rPr>
        <w:rStyle w:val="PageNumber"/>
        <w:noProof/>
        <w:sz w:val="18"/>
        <w:szCs w:val="18"/>
      </w:rPr>
      <w:t>12</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21A6" w14:textId="77777777" w:rsidR="001D26D8" w:rsidRPr="006A5F84" w:rsidRDefault="001D26D8">
      <w:r w:rsidRPr="006A5F84">
        <w:separator/>
      </w:r>
    </w:p>
  </w:footnote>
  <w:footnote w:type="continuationSeparator" w:id="0">
    <w:p w14:paraId="321740D6" w14:textId="77777777" w:rsidR="001D26D8" w:rsidRPr="006A5F84" w:rsidRDefault="001D26D8">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3670321D" w14:textId="77C957E7"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4">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5">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6">
    <w:p w14:paraId="0DC79155" w14:textId="77777777" w:rsidR="00CF1700" w:rsidRPr="006A5F84" w:rsidRDefault="00CF1700" w:rsidP="00DC608A">
      <w:pPr>
        <w:spacing w:after="60"/>
      </w:pPr>
      <w:r w:rsidRPr="006A5F84">
        <w:rPr>
          <w:rStyle w:val="FootnoteReference"/>
        </w:rPr>
        <w:footnoteRef/>
      </w:r>
      <w:r>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7">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8">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9">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0">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proofErr w:type="gramStart"/>
      <w:r w:rsidR="002D26F0">
        <w:t xml:space="preserve">personnel </w:t>
      </w:r>
      <w:r w:rsidRPr="006A5F84">
        <w:t xml:space="preserve"> directly</w:t>
      </w:r>
      <w:proofErr w:type="gramEnd"/>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1">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2">
    <w:p w14:paraId="2955F37D" w14:textId="77777777" w:rsidR="004C51DD" w:rsidRPr="006A5F84" w:rsidRDefault="004C51DD" w:rsidP="00DC608A">
      <w:pPr>
        <w:jc w:val="both"/>
      </w:pPr>
      <w:r w:rsidRPr="004F0604">
        <w:rPr>
          <w:rStyle w:val="FootnoteReference"/>
          <w:color w:val="000000" w:themeColor="text1"/>
        </w:rPr>
        <w:footnoteRef/>
      </w:r>
      <w:r w:rsidR="00DC608A" w:rsidRPr="004F0604">
        <w:rPr>
          <w:color w:val="000000" w:themeColor="text1"/>
        </w:rPr>
        <w:t xml:space="preserve"> </w:t>
      </w:r>
      <w:r w:rsidR="00A45A0D" w:rsidRPr="004F0604">
        <w:rPr>
          <w:color w:val="000000" w:themeColor="text1"/>
          <w:lang w:val="en-IE"/>
        </w:rPr>
        <w:t>References must be contracts implemented by the legal entity (or legal entities) submitting the</w:t>
      </w:r>
      <w:r w:rsidR="00D42267" w:rsidRPr="004F0604">
        <w:rPr>
          <w:color w:val="000000" w:themeColor="text1"/>
          <w:lang w:val="en-IE"/>
        </w:rPr>
        <w:t xml:space="preserve">-tender form </w:t>
      </w:r>
      <w:r w:rsidR="00A45A0D" w:rsidRPr="004F0604">
        <w:rPr>
          <w:color w:val="000000" w:themeColor="text1"/>
          <w:lang w:val="en-IE"/>
        </w:rPr>
        <w:t xml:space="preserve">(with the exception of documented cases of company buyout or universal succession). </w:t>
      </w:r>
      <w:r w:rsidRPr="004F0604">
        <w:rPr>
          <w:color w:val="000000" w:themeColor="text1"/>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3">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E867" w14:textId="77777777"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BBAE" w14:textId="77777777"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8486" w14:textId="77777777"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366F" w14:textId="77777777"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432D" w14:textId="77777777"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11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0267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09F3"/>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E53C4"/>
    <w:rsid w:val="001F3517"/>
    <w:rsid w:val="001F410B"/>
    <w:rsid w:val="001F5421"/>
    <w:rsid w:val="001F7CA8"/>
    <w:rsid w:val="002012E1"/>
    <w:rsid w:val="00201A46"/>
    <w:rsid w:val="00211229"/>
    <w:rsid w:val="00211B2A"/>
    <w:rsid w:val="00211E0F"/>
    <w:rsid w:val="00216F0D"/>
    <w:rsid w:val="002209F1"/>
    <w:rsid w:val="00220BF7"/>
    <w:rsid w:val="00224C44"/>
    <w:rsid w:val="00225CDC"/>
    <w:rsid w:val="00227A8C"/>
    <w:rsid w:val="00230A73"/>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14B3"/>
    <w:rsid w:val="003C4B2D"/>
    <w:rsid w:val="003C6096"/>
    <w:rsid w:val="003C7266"/>
    <w:rsid w:val="003D1BFC"/>
    <w:rsid w:val="003D2078"/>
    <w:rsid w:val="003D3CAA"/>
    <w:rsid w:val="003D7611"/>
    <w:rsid w:val="003E7C71"/>
    <w:rsid w:val="003F0370"/>
    <w:rsid w:val="003F2FA4"/>
    <w:rsid w:val="003F3B51"/>
    <w:rsid w:val="003F4547"/>
    <w:rsid w:val="003F6EA1"/>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13CA"/>
    <w:rsid w:val="00556923"/>
    <w:rsid w:val="005634B2"/>
    <w:rsid w:val="0056352C"/>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976E1"/>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AF7A36"/>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4D9C"/>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1700"/>
    <w:rsid w:val="00CF2A8A"/>
    <w:rsid w:val="00CF2DE2"/>
    <w:rsid w:val="00CF30C4"/>
    <w:rsid w:val="00CF5D66"/>
    <w:rsid w:val="00CF6CFA"/>
    <w:rsid w:val="00D02E23"/>
    <w:rsid w:val="00D0611C"/>
    <w:rsid w:val="00D243E7"/>
    <w:rsid w:val="00D24469"/>
    <w:rsid w:val="00D24893"/>
    <w:rsid w:val="00D27A54"/>
    <w:rsid w:val="00D312D2"/>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3BE7"/>
    <w:rsid w:val="00DE7055"/>
    <w:rsid w:val="00DE71AB"/>
    <w:rsid w:val="00DF7145"/>
    <w:rsid w:val="00DF7327"/>
    <w:rsid w:val="00E0295D"/>
    <w:rsid w:val="00E03BDF"/>
    <w:rsid w:val="00E11BF9"/>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2C05"/>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27D48"/>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23E2-1A69-421B-9518-84041135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2230</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Nico Huizinga</cp:lastModifiedBy>
  <cp:revision>8</cp:revision>
  <cp:lastPrinted>2012-09-24T09:39:00Z</cp:lastPrinted>
  <dcterms:created xsi:type="dcterms:W3CDTF">2023-09-06T15:30:00Z</dcterms:created>
  <dcterms:modified xsi:type="dcterms:W3CDTF">2024-03-11T13:55:00Z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